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BF" w:rsidRPr="00833A4F" w:rsidRDefault="009E44BF" w:rsidP="003573D9">
      <w:pPr>
        <w:jc w:val="both"/>
        <w:rPr>
          <w:spacing w:val="-6"/>
          <w:sz w:val="22"/>
        </w:rPr>
      </w:pPr>
    </w:p>
    <w:p w:rsidR="00D54000" w:rsidRPr="00833A4F" w:rsidRDefault="00D54000" w:rsidP="003573D9">
      <w:pPr>
        <w:jc w:val="both"/>
        <w:rPr>
          <w:spacing w:val="-6"/>
          <w:sz w:val="22"/>
        </w:rPr>
      </w:pPr>
      <w:r w:rsidRPr="00833A4F">
        <w:rPr>
          <w:spacing w:val="-6"/>
          <w:sz w:val="22"/>
        </w:rPr>
        <w:t xml:space="preserve">Recientemente se ha publicado la </w:t>
      </w:r>
      <w:r w:rsidRPr="00833A4F">
        <w:rPr>
          <w:b/>
          <w:spacing w:val="-6"/>
          <w:sz w:val="22"/>
        </w:rPr>
        <w:t>Ley 14/2013 de apoyo a los emprendedores y su internacionalización</w:t>
      </w:r>
      <w:r w:rsidRPr="00833A4F">
        <w:rPr>
          <w:spacing w:val="-6"/>
          <w:sz w:val="22"/>
        </w:rPr>
        <w:t xml:space="preserve"> que ha introducido medidas en diversos ámbitos, de los cuales destacamos las siguientes:</w:t>
      </w:r>
    </w:p>
    <w:p w:rsidR="00D54000" w:rsidRPr="00833A4F" w:rsidRDefault="00D54000" w:rsidP="003573D9">
      <w:pPr>
        <w:jc w:val="both"/>
        <w:rPr>
          <w:spacing w:val="-6"/>
          <w:sz w:val="16"/>
          <w:szCs w:val="16"/>
        </w:rPr>
      </w:pPr>
    </w:p>
    <w:p w:rsidR="006A1997" w:rsidRPr="00833A4F" w:rsidRDefault="00D54000" w:rsidP="00D54000">
      <w:pPr>
        <w:jc w:val="both"/>
        <w:rPr>
          <w:spacing w:val="-6"/>
          <w:sz w:val="24"/>
          <w:szCs w:val="24"/>
          <w:u w:val="single"/>
        </w:rPr>
      </w:pPr>
      <w:r w:rsidRPr="00833A4F">
        <w:rPr>
          <w:spacing w:val="-6"/>
          <w:sz w:val="24"/>
          <w:szCs w:val="24"/>
          <w:u w:val="single"/>
        </w:rPr>
        <w:t>En materia fiscal</w:t>
      </w:r>
    </w:p>
    <w:p w:rsidR="00D54000" w:rsidRPr="00833A4F" w:rsidRDefault="00D54000" w:rsidP="00D54000">
      <w:pPr>
        <w:jc w:val="both"/>
        <w:rPr>
          <w:spacing w:val="-6"/>
          <w:sz w:val="16"/>
          <w:szCs w:val="16"/>
        </w:rPr>
      </w:pPr>
    </w:p>
    <w:p w:rsidR="0032173B" w:rsidRPr="00833A4F" w:rsidRDefault="0032173B" w:rsidP="00FE2C99">
      <w:pPr>
        <w:numPr>
          <w:ilvl w:val="0"/>
          <w:numId w:val="12"/>
        </w:numPr>
        <w:ind w:left="360"/>
        <w:jc w:val="both"/>
        <w:rPr>
          <w:color w:val="404040"/>
          <w:spacing w:val="-6"/>
          <w:sz w:val="22"/>
        </w:rPr>
      </w:pPr>
      <w:r w:rsidRPr="00833A4F">
        <w:rPr>
          <w:spacing w:val="-6"/>
          <w:sz w:val="22"/>
        </w:rPr>
        <w:t xml:space="preserve">Con efectos desde el </w:t>
      </w:r>
      <w:r w:rsidRPr="00833A4F">
        <w:rPr>
          <w:b/>
          <w:spacing w:val="-6"/>
          <w:sz w:val="22"/>
        </w:rPr>
        <w:t>29-</w:t>
      </w:r>
      <w:r w:rsidR="00FE2C99" w:rsidRPr="00833A4F">
        <w:rPr>
          <w:b/>
          <w:spacing w:val="-6"/>
          <w:sz w:val="22"/>
        </w:rPr>
        <w:t>0</w:t>
      </w:r>
      <w:r w:rsidRPr="00833A4F">
        <w:rPr>
          <w:b/>
          <w:spacing w:val="-6"/>
          <w:sz w:val="22"/>
        </w:rPr>
        <w:t>9-2013</w:t>
      </w:r>
      <w:r w:rsidR="00FE2C99" w:rsidRPr="00833A4F">
        <w:rPr>
          <w:spacing w:val="-6"/>
          <w:sz w:val="22"/>
        </w:rPr>
        <w:t>,</w:t>
      </w:r>
      <w:r w:rsidRPr="00833A4F">
        <w:rPr>
          <w:spacing w:val="-6"/>
          <w:sz w:val="22"/>
        </w:rPr>
        <w:t xml:space="preserve"> se </w:t>
      </w:r>
      <w:r w:rsidRPr="00833A4F">
        <w:rPr>
          <w:b/>
          <w:spacing w:val="-6"/>
          <w:sz w:val="22"/>
        </w:rPr>
        <w:t>suprime la exención</w:t>
      </w:r>
      <w:r w:rsidRPr="00833A4F">
        <w:rPr>
          <w:spacing w:val="-6"/>
          <w:sz w:val="22"/>
        </w:rPr>
        <w:t xml:space="preserve"> en el </w:t>
      </w:r>
      <w:r w:rsidRPr="00833A4F">
        <w:rPr>
          <w:spacing w:val="-6"/>
          <w:sz w:val="24"/>
          <w:szCs w:val="24"/>
          <w:u w:val="single"/>
        </w:rPr>
        <w:t>IRPF</w:t>
      </w:r>
      <w:r w:rsidRPr="00833A4F">
        <w:rPr>
          <w:spacing w:val="-6"/>
          <w:sz w:val="22"/>
        </w:rPr>
        <w:t xml:space="preserve"> </w:t>
      </w:r>
      <w:r w:rsidRPr="00833A4F">
        <w:rPr>
          <w:color w:val="404040"/>
          <w:spacing w:val="-6"/>
          <w:sz w:val="22"/>
        </w:rPr>
        <w:t>de las ganancias patrimoniales derivadas de la transmisión de acciones o participaciones en empresas de nueva o reciente creación, pero incorporando un régimen transitorio.</w:t>
      </w:r>
    </w:p>
    <w:p w:rsidR="006A1997" w:rsidRPr="00833A4F" w:rsidRDefault="006A1997" w:rsidP="00FE2C99">
      <w:pPr>
        <w:ind w:left="-720" w:firstLine="60"/>
        <w:jc w:val="both"/>
        <w:rPr>
          <w:spacing w:val="-6"/>
          <w:sz w:val="16"/>
          <w:szCs w:val="16"/>
        </w:rPr>
      </w:pPr>
    </w:p>
    <w:p w:rsidR="0032173B" w:rsidRPr="00833A4F" w:rsidRDefault="00A50B5A" w:rsidP="00410D20">
      <w:pPr>
        <w:ind w:left="360"/>
        <w:jc w:val="both"/>
        <w:rPr>
          <w:b/>
          <w:color w:val="404040"/>
          <w:spacing w:val="-6"/>
          <w:sz w:val="22"/>
        </w:rPr>
      </w:pPr>
      <w:r w:rsidRPr="00833A4F">
        <w:rPr>
          <w:spacing w:val="-6"/>
          <w:sz w:val="22"/>
        </w:rPr>
        <w:t xml:space="preserve">Al </w:t>
      </w:r>
      <w:r w:rsidR="0004274C" w:rsidRPr="00833A4F">
        <w:rPr>
          <w:spacing w:val="-6"/>
          <w:sz w:val="22"/>
        </w:rPr>
        <w:t xml:space="preserve">mismo tiempo, se crea </w:t>
      </w:r>
      <w:r w:rsidR="00856DFB" w:rsidRPr="00833A4F">
        <w:rPr>
          <w:spacing w:val="-6"/>
          <w:sz w:val="22"/>
        </w:rPr>
        <w:t xml:space="preserve">una </w:t>
      </w:r>
      <w:r w:rsidR="009C4C02" w:rsidRPr="00833A4F">
        <w:rPr>
          <w:spacing w:val="-6"/>
          <w:sz w:val="22"/>
          <w:highlight w:val="lightGray"/>
        </w:rPr>
        <w:t>nueva deducción</w:t>
      </w:r>
      <w:r w:rsidR="009C4C02" w:rsidRPr="00833A4F">
        <w:rPr>
          <w:spacing w:val="-6"/>
          <w:sz w:val="22"/>
        </w:rPr>
        <w:t xml:space="preserve"> en la cuota íntegra estatal del </w:t>
      </w:r>
      <w:r w:rsidR="009C4C02" w:rsidRPr="00833A4F">
        <w:rPr>
          <w:spacing w:val="-6"/>
          <w:sz w:val="22"/>
          <w:u w:val="single"/>
        </w:rPr>
        <w:t>I</w:t>
      </w:r>
      <w:r w:rsidR="009C4C02" w:rsidRPr="00833A4F">
        <w:rPr>
          <w:spacing w:val="-6"/>
          <w:sz w:val="24"/>
          <w:szCs w:val="24"/>
          <w:u w:val="single"/>
        </w:rPr>
        <w:t>RPF</w:t>
      </w:r>
      <w:r w:rsidR="009C4C02" w:rsidRPr="00833A4F">
        <w:rPr>
          <w:spacing w:val="-6"/>
          <w:sz w:val="22"/>
        </w:rPr>
        <w:t xml:space="preserve"> por </w:t>
      </w:r>
      <w:r w:rsidR="009C4C02" w:rsidRPr="00833A4F">
        <w:rPr>
          <w:b/>
          <w:spacing w:val="-6"/>
          <w:sz w:val="22"/>
          <w:u w:val="single"/>
        </w:rPr>
        <w:t>inversión en empresas de nueva o r</w:t>
      </w:r>
      <w:r w:rsidR="0041072F" w:rsidRPr="00833A4F">
        <w:rPr>
          <w:b/>
          <w:spacing w:val="-6"/>
          <w:sz w:val="22"/>
          <w:u w:val="single"/>
        </w:rPr>
        <w:t>eciente creación</w:t>
      </w:r>
      <w:r w:rsidR="0041072F" w:rsidRPr="00833A4F">
        <w:rPr>
          <w:spacing w:val="-6"/>
          <w:sz w:val="22"/>
        </w:rPr>
        <w:t xml:space="preserve">, </w:t>
      </w:r>
      <w:r w:rsidR="0041072F" w:rsidRPr="00833A4F">
        <w:rPr>
          <w:color w:val="404040"/>
          <w:spacing w:val="-6"/>
          <w:sz w:val="22"/>
        </w:rPr>
        <w:t>en la</w:t>
      </w:r>
      <w:r w:rsidR="009C4C02" w:rsidRPr="00833A4F">
        <w:rPr>
          <w:color w:val="404040"/>
          <w:spacing w:val="-6"/>
          <w:sz w:val="22"/>
        </w:rPr>
        <w:t xml:space="preserve"> que el contribuyente</w:t>
      </w:r>
      <w:r w:rsidR="0041072F" w:rsidRPr="00833A4F">
        <w:rPr>
          <w:color w:val="404040"/>
          <w:spacing w:val="-6"/>
          <w:sz w:val="22"/>
        </w:rPr>
        <w:t xml:space="preserve"> realiza una aportación temporal de capital financiero, </w:t>
      </w:r>
      <w:r w:rsidR="0074309E">
        <w:rPr>
          <w:color w:val="404040"/>
          <w:spacing w:val="-6"/>
          <w:sz w:val="22"/>
        </w:rPr>
        <w:t>y</w:t>
      </w:r>
      <w:r w:rsidR="0041072F" w:rsidRPr="00833A4F">
        <w:rPr>
          <w:color w:val="404040"/>
          <w:spacing w:val="-6"/>
          <w:sz w:val="22"/>
        </w:rPr>
        <w:t xml:space="preserve"> además puede aportar sus conocimientos empresariales o profesionales adecuados para el desarrollo de la sociedad en la que invierte, </w:t>
      </w:r>
      <w:r w:rsidR="009C4C02" w:rsidRPr="00833A4F">
        <w:rPr>
          <w:color w:val="404040"/>
          <w:spacing w:val="-6"/>
          <w:sz w:val="22"/>
        </w:rPr>
        <w:t xml:space="preserve"> “inversor de proximidad” o “</w:t>
      </w:r>
      <w:proofErr w:type="spellStart"/>
      <w:r w:rsidR="009C4C02" w:rsidRPr="00833A4F">
        <w:rPr>
          <w:color w:val="404040"/>
          <w:spacing w:val="-6"/>
          <w:sz w:val="22"/>
        </w:rPr>
        <w:t>business</w:t>
      </w:r>
      <w:proofErr w:type="spellEnd"/>
      <w:r w:rsidR="009C4C02" w:rsidRPr="00833A4F">
        <w:rPr>
          <w:color w:val="404040"/>
          <w:spacing w:val="-6"/>
          <w:sz w:val="22"/>
        </w:rPr>
        <w:t xml:space="preserve"> </w:t>
      </w:r>
      <w:proofErr w:type="spellStart"/>
      <w:r w:rsidR="009C4C02" w:rsidRPr="00833A4F">
        <w:rPr>
          <w:color w:val="404040"/>
          <w:spacing w:val="-6"/>
          <w:sz w:val="22"/>
        </w:rPr>
        <w:t>angel</w:t>
      </w:r>
      <w:proofErr w:type="spellEnd"/>
      <w:r w:rsidR="009C4C02" w:rsidRPr="00833A4F">
        <w:rPr>
          <w:color w:val="404040"/>
          <w:spacing w:val="-6"/>
          <w:sz w:val="22"/>
        </w:rPr>
        <w:t>”</w:t>
      </w:r>
      <w:r w:rsidR="0041072F" w:rsidRPr="00833A4F">
        <w:rPr>
          <w:color w:val="404040"/>
          <w:spacing w:val="-6"/>
          <w:sz w:val="22"/>
        </w:rPr>
        <w:t xml:space="preserve">. </w:t>
      </w:r>
      <w:r w:rsidR="0004274C" w:rsidRPr="00833A4F">
        <w:rPr>
          <w:color w:val="404040"/>
          <w:spacing w:val="-6"/>
          <w:sz w:val="22"/>
        </w:rPr>
        <w:t xml:space="preserve">También se crea una </w:t>
      </w:r>
      <w:r w:rsidR="0004274C" w:rsidRPr="00833A4F">
        <w:rPr>
          <w:color w:val="404040"/>
          <w:spacing w:val="-6"/>
          <w:sz w:val="22"/>
          <w:highlight w:val="lightGray"/>
        </w:rPr>
        <w:t>nueva exención por</w:t>
      </w:r>
      <w:r w:rsidR="0041072F" w:rsidRPr="00833A4F">
        <w:rPr>
          <w:color w:val="404040"/>
          <w:spacing w:val="-6"/>
          <w:sz w:val="22"/>
          <w:highlight w:val="lightGray"/>
        </w:rPr>
        <w:t xml:space="preserve"> reinversión</w:t>
      </w:r>
      <w:r w:rsidR="0041072F" w:rsidRPr="00833A4F">
        <w:rPr>
          <w:b/>
          <w:color w:val="404040"/>
          <w:spacing w:val="-6"/>
          <w:sz w:val="22"/>
        </w:rPr>
        <w:t xml:space="preserve"> </w:t>
      </w:r>
      <w:r w:rsidR="00FE2C99" w:rsidRPr="00833A4F">
        <w:rPr>
          <w:color w:val="404040"/>
          <w:spacing w:val="-6"/>
          <w:sz w:val="22"/>
        </w:rPr>
        <w:t xml:space="preserve">en el supuesto de transmisión de acciones o participaciones en empresa de nueva o reciente creación </w:t>
      </w:r>
      <w:r w:rsidR="0004274C" w:rsidRPr="00833A4F">
        <w:rPr>
          <w:color w:val="404040"/>
          <w:spacing w:val="-6"/>
          <w:sz w:val="22"/>
        </w:rPr>
        <w:t xml:space="preserve"> </w:t>
      </w:r>
      <w:r w:rsidR="00FE2C99" w:rsidRPr="00833A4F">
        <w:rPr>
          <w:color w:val="404040"/>
          <w:spacing w:val="-6"/>
          <w:sz w:val="22"/>
        </w:rPr>
        <w:t xml:space="preserve">a las que se ha aplicado la </w:t>
      </w:r>
      <w:r w:rsidR="005F176A" w:rsidRPr="00833A4F">
        <w:rPr>
          <w:color w:val="404040"/>
          <w:spacing w:val="-6"/>
          <w:sz w:val="22"/>
        </w:rPr>
        <w:t xml:space="preserve">anterior </w:t>
      </w:r>
      <w:r w:rsidR="00FE2C99" w:rsidRPr="00833A4F">
        <w:rPr>
          <w:color w:val="404040"/>
          <w:spacing w:val="-6"/>
          <w:sz w:val="22"/>
        </w:rPr>
        <w:t>deducción</w:t>
      </w:r>
      <w:r w:rsidR="0041072F" w:rsidRPr="00833A4F">
        <w:rPr>
          <w:color w:val="404040"/>
          <w:spacing w:val="-6"/>
          <w:sz w:val="22"/>
        </w:rPr>
        <w:t>, con limitaciones.</w:t>
      </w:r>
      <w:r w:rsidR="0004274C" w:rsidRPr="00833A4F">
        <w:rPr>
          <w:color w:val="404040"/>
          <w:spacing w:val="-6"/>
          <w:sz w:val="22"/>
        </w:rPr>
        <w:t xml:space="preserve"> </w:t>
      </w:r>
      <w:r w:rsidR="0032173B" w:rsidRPr="00833A4F">
        <w:rPr>
          <w:color w:val="404040"/>
          <w:spacing w:val="-6"/>
          <w:sz w:val="22"/>
        </w:rPr>
        <w:t xml:space="preserve">La </w:t>
      </w:r>
      <w:r w:rsidR="0004274C" w:rsidRPr="00833A4F">
        <w:rPr>
          <w:color w:val="404040"/>
          <w:spacing w:val="-6"/>
          <w:sz w:val="22"/>
        </w:rPr>
        <w:t xml:space="preserve"> deducción o exención </w:t>
      </w:r>
      <w:r w:rsidR="0032173B" w:rsidRPr="00833A4F">
        <w:rPr>
          <w:color w:val="404040"/>
          <w:spacing w:val="-6"/>
          <w:sz w:val="22"/>
        </w:rPr>
        <w:t xml:space="preserve">solamente resulta de aplicación respecto de las acciones o participaciones </w:t>
      </w:r>
      <w:r w:rsidR="0032173B" w:rsidRPr="00833A4F">
        <w:rPr>
          <w:b/>
          <w:color w:val="000000"/>
          <w:spacing w:val="-6"/>
          <w:sz w:val="22"/>
        </w:rPr>
        <w:t>suscritas a partir del 29-</w:t>
      </w:r>
      <w:r w:rsidR="005F176A" w:rsidRPr="00833A4F">
        <w:rPr>
          <w:b/>
          <w:color w:val="000000"/>
          <w:spacing w:val="-6"/>
          <w:sz w:val="22"/>
        </w:rPr>
        <w:t>0</w:t>
      </w:r>
      <w:r w:rsidR="0032173B" w:rsidRPr="00833A4F">
        <w:rPr>
          <w:b/>
          <w:color w:val="000000"/>
          <w:spacing w:val="-6"/>
          <w:sz w:val="22"/>
        </w:rPr>
        <w:t>9-2013</w:t>
      </w:r>
      <w:r w:rsidR="0004274C" w:rsidRPr="00833A4F">
        <w:rPr>
          <w:b/>
          <w:color w:val="000000"/>
          <w:spacing w:val="-6"/>
          <w:sz w:val="22"/>
        </w:rPr>
        <w:t>.</w:t>
      </w:r>
    </w:p>
    <w:p w:rsidR="009E44BF" w:rsidRPr="00833A4F" w:rsidRDefault="009E44BF" w:rsidP="00FE2C99">
      <w:pPr>
        <w:jc w:val="both"/>
        <w:rPr>
          <w:spacing w:val="-6"/>
          <w:sz w:val="22"/>
        </w:rPr>
      </w:pPr>
    </w:p>
    <w:p w:rsidR="0004274C" w:rsidRPr="00833A4F" w:rsidRDefault="0004274C" w:rsidP="00FE2C99">
      <w:pPr>
        <w:numPr>
          <w:ilvl w:val="0"/>
          <w:numId w:val="12"/>
        </w:numPr>
        <w:ind w:left="360"/>
        <w:jc w:val="both"/>
        <w:rPr>
          <w:color w:val="404040"/>
          <w:spacing w:val="-6"/>
          <w:sz w:val="22"/>
        </w:rPr>
      </w:pPr>
      <w:r w:rsidRPr="00833A4F">
        <w:rPr>
          <w:spacing w:val="-6"/>
          <w:sz w:val="22"/>
        </w:rPr>
        <w:t xml:space="preserve">Con efectos para los períodos impositivos que se inicien a partir </w:t>
      </w:r>
      <w:r w:rsidR="00870FE3" w:rsidRPr="00833A4F">
        <w:rPr>
          <w:spacing w:val="-6"/>
          <w:sz w:val="22"/>
        </w:rPr>
        <w:t xml:space="preserve">del </w:t>
      </w:r>
      <w:r w:rsidR="00870FE3" w:rsidRPr="00833A4F">
        <w:rPr>
          <w:b/>
          <w:spacing w:val="-6"/>
          <w:sz w:val="22"/>
        </w:rPr>
        <w:t>01-01-2013</w:t>
      </w:r>
      <w:r w:rsidR="00870FE3" w:rsidRPr="00833A4F">
        <w:rPr>
          <w:spacing w:val="-6"/>
          <w:sz w:val="22"/>
        </w:rPr>
        <w:t xml:space="preserve">, las </w:t>
      </w:r>
      <w:r w:rsidRPr="00833A4F">
        <w:rPr>
          <w:spacing w:val="-6"/>
          <w:sz w:val="22"/>
        </w:rPr>
        <w:t>entidades que cumplan los requisitos para ser consideradas empresas de</w:t>
      </w:r>
      <w:r w:rsidRPr="00833A4F">
        <w:rPr>
          <w:b/>
          <w:spacing w:val="-6"/>
          <w:sz w:val="22"/>
        </w:rPr>
        <w:t xml:space="preserve"> </w:t>
      </w:r>
      <w:r w:rsidRPr="00833A4F">
        <w:rPr>
          <w:spacing w:val="-6"/>
          <w:sz w:val="22"/>
          <w:u w:val="single"/>
        </w:rPr>
        <w:t>reducida dimensión</w:t>
      </w:r>
      <w:r w:rsidR="00870FE3" w:rsidRPr="00833A4F">
        <w:rPr>
          <w:b/>
          <w:spacing w:val="-6"/>
          <w:sz w:val="22"/>
        </w:rPr>
        <w:t xml:space="preserve"> </w:t>
      </w:r>
      <w:r w:rsidR="00870FE3" w:rsidRPr="00833A4F">
        <w:rPr>
          <w:spacing w:val="-6"/>
          <w:sz w:val="22"/>
        </w:rPr>
        <w:t xml:space="preserve">podrán aplicar una </w:t>
      </w:r>
      <w:r w:rsidR="00870FE3" w:rsidRPr="00833A4F">
        <w:rPr>
          <w:spacing w:val="-6"/>
          <w:sz w:val="22"/>
          <w:highlight w:val="lightGray"/>
        </w:rPr>
        <w:t>deducción</w:t>
      </w:r>
      <w:r w:rsidR="00870FE3" w:rsidRPr="00833A4F">
        <w:rPr>
          <w:spacing w:val="-6"/>
          <w:sz w:val="22"/>
        </w:rPr>
        <w:t xml:space="preserve"> en los</w:t>
      </w:r>
      <w:r w:rsidR="00870FE3" w:rsidRPr="00833A4F">
        <w:rPr>
          <w:color w:val="000000"/>
          <w:spacing w:val="-6"/>
          <w:sz w:val="22"/>
        </w:rPr>
        <w:t xml:space="preserve"> </w:t>
      </w:r>
      <w:r w:rsidR="00870FE3" w:rsidRPr="00833A4F">
        <w:rPr>
          <w:b/>
          <w:color w:val="000000"/>
          <w:spacing w:val="-6"/>
          <w:sz w:val="22"/>
          <w:u w:val="single"/>
        </w:rPr>
        <w:t>beneficios</w:t>
      </w:r>
      <w:r w:rsidRPr="00833A4F">
        <w:rPr>
          <w:b/>
          <w:color w:val="000000"/>
          <w:spacing w:val="-6"/>
          <w:sz w:val="22"/>
          <w:u w:val="single"/>
        </w:rPr>
        <w:t xml:space="preserve"> que se inviertan </w:t>
      </w:r>
      <w:r w:rsidRPr="00833A4F">
        <w:rPr>
          <w:b/>
          <w:color w:val="000000"/>
          <w:spacing w:val="-6"/>
          <w:sz w:val="22"/>
        </w:rPr>
        <w:t>en elementos nuevos del inmovilizado material o inversiones inmobiliarias afectos a actividades económicas</w:t>
      </w:r>
      <w:r w:rsidR="00870FE3" w:rsidRPr="00833A4F">
        <w:rPr>
          <w:spacing w:val="-6"/>
          <w:sz w:val="22"/>
        </w:rPr>
        <w:t xml:space="preserve">, </w:t>
      </w:r>
      <w:r w:rsidR="00870FE3" w:rsidRPr="00833A4F">
        <w:rPr>
          <w:color w:val="404040"/>
          <w:spacing w:val="-6"/>
          <w:sz w:val="22"/>
        </w:rPr>
        <w:t>siempre que cumplan determinados plazos y condiciones, como la  creación de una reserva indisponible.</w:t>
      </w:r>
      <w:r w:rsidR="00780AE4" w:rsidRPr="00833A4F">
        <w:rPr>
          <w:color w:val="404040"/>
          <w:spacing w:val="-6"/>
          <w:sz w:val="22"/>
        </w:rPr>
        <w:t xml:space="preserve"> </w:t>
      </w:r>
      <w:r w:rsidR="00780AE4" w:rsidRPr="00833A4F">
        <w:rPr>
          <w:color w:val="000000"/>
          <w:spacing w:val="-6"/>
          <w:sz w:val="22"/>
        </w:rPr>
        <w:t xml:space="preserve">Esta nueva deducción </w:t>
      </w:r>
      <w:r w:rsidR="00780AE4" w:rsidRPr="00833A4F">
        <w:rPr>
          <w:color w:val="000000"/>
          <w:spacing w:val="-6"/>
          <w:sz w:val="22"/>
          <w:u w:val="single"/>
        </w:rPr>
        <w:t>también</w:t>
      </w:r>
      <w:r w:rsidR="00780AE4" w:rsidRPr="00833A4F">
        <w:rPr>
          <w:color w:val="000000"/>
          <w:spacing w:val="-6"/>
          <w:sz w:val="22"/>
        </w:rPr>
        <w:t xml:space="preserve"> podrán aplicarla los </w:t>
      </w:r>
      <w:r w:rsidR="003573D9" w:rsidRPr="00833A4F">
        <w:rPr>
          <w:color w:val="000000"/>
          <w:spacing w:val="-6"/>
          <w:sz w:val="22"/>
        </w:rPr>
        <w:t xml:space="preserve">contribuyentes del </w:t>
      </w:r>
      <w:r w:rsidR="003573D9" w:rsidRPr="00833A4F">
        <w:rPr>
          <w:color w:val="000000"/>
          <w:spacing w:val="-6"/>
          <w:sz w:val="24"/>
          <w:szCs w:val="24"/>
          <w:u w:val="single"/>
        </w:rPr>
        <w:t>IRPF</w:t>
      </w:r>
      <w:r w:rsidR="003573D9" w:rsidRPr="00833A4F">
        <w:rPr>
          <w:color w:val="000000"/>
          <w:spacing w:val="-6"/>
          <w:sz w:val="22"/>
        </w:rPr>
        <w:t xml:space="preserve"> con particularidades.</w:t>
      </w:r>
    </w:p>
    <w:p w:rsidR="0004274C" w:rsidRPr="00833A4F" w:rsidRDefault="0004274C" w:rsidP="00FE2C99">
      <w:pPr>
        <w:jc w:val="both"/>
        <w:rPr>
          <w:spacing w:val="-6"/>
          <w:sz w:val="16"/>
          <w:szCs w:val="16"/>
        </w:rPr>
      </w:pPr>
    </w:p>
    <w:p w:rsidR="004169A3" w:rsidRPr="00833A4F" w:rsidRDefault="0098513D" w:rsidP="00FE2C99">
      <w:pPr>
        <w:numPr>
          <w:ilvl w:val="0"/>
          <w:numId w:val="12"/>
        </w:numPr>
        <w:ind w:left="360"/>
        <w:jc w:val="both"/>
        <w:rPr>
          <w:color w:val="404040"/>
          <w:spacing w:val="-6"/>
          <w:sz w:val="22"/>
        </w:rPr>
      </w:pPr>
      <w:r w:rsidRPr="00833A4F">
        <w:rPr>
          <w:spacing w:val="-6"/>
          <w:sz w:val="22"/>
        </w:rPr>
        <w:t xml:space="preserve">En cuanto a la aplicación de las </w:t>
      </w:r>
      <w:r w:rsidRPr="00833A4F">
        <w:rPr>
          <w:b/>
          <w:spacing w:val="-6"/>
          <w:sz w:val="22"/>
          <w:u w:val="single"/>
        </w:rPr>
        <w:t xml:space="preserve">deducciones por actividades de </w:t>
      </w:r>
      <w:proofErr w:type="spellStart"/>
      <w:r w:rsidRPr="00833A4F">
        <w:rPr>
          <w:b/>
          <w:spacing w:val="-6"/>
          <w:sz w:val="22"/>
          <w:u w:val="single"/>
        </w:rPr>
        <w:t>I+D+i</w:t>
      </w:r>
      <w:proofErr w:type="spellEnd"/>
      <w:r w:rsidRPr="00833A4F">
        <w:rPr>
          <w:b/>
          <w:spacing w:val="-6"/>
          <w:sz w:val="22"/>
          <w:u w:val="single"/>
        </w:rPr>
        <w:t>,</w:t>
      </w:r>
      <w:r w:rsidRPr="00833A4F">
        <w:rPr>
          <w:spacing w:val="-6"/>
          <w:sz w:val="22"/>
        </w:rPr>
        <w:t xml:space="preserve"> </w:t>
      </w:r>
      <w:r w:rsidRPr="00833A4F">
        <w:rPr>
          <w:spacing w:val="-8"/>
          <w:sz w:val="22"/>
        </w:rPr>
        <w:t xml:space="preserve">y </w:t>
      </w:r>
      <w:r w:rsidRPr="00833A4F">
        <w:rPr>
          <w:color w:val="404040"/>
          <w:spacing w:val="-8"/>
          <w:sz w:val="22"/>
        </w:rPr>
        <w:t>con efectos para los p</w:t>
      </w:r>
      <w:r w:rsidR="000263B6" w:rsidRPr="00833A4F">
        <w:rPr>
          <w:color w:val="404040"/>
          <w:spacing w:val="-8"/>
          <w:sz w:val="22"/>
        </w:rPr>
        <w:t>eriodos impositivos</w:t>
      </w:r>
      <w:r w:rsidRPr="00833A4F">
        <w:rPr>
          <w:color w:val="404040"/>
          <w:spacing w:val="-8"/>
          <w:sz w:val="22"/>
        </w:rPr>
        <w:t xml:space="preserve"> que se inicien a partir</w:t>
      </w:r>
      <w:r w:rsidRPr="00833A4F">
        <w:rPr>
          <w:color w:val="404040"/>
          <w:spacing w:val="-6"/>
          <w:sz w:val="22"/>
        </w:rPr>
        <w:t xml:space="preserve"> </w:t>
      </w:r>
      <w:r w:rsidRPr="00833A4F">
        <w:rPr>
          <w:color w:val="404040"/>
          <w:spacing w:val="-6"/>
          <w:sz w:val="22"/>
          <w:highlight w:val="lightGray"/>
        </w:rPr>
        <w:t>del 01-01-2013</w:t>
      </w:r>
      <w:r w:rsidRPr="00833A4F">
        <w:rPr>
          <w:color w:val="404040"/>
          <w:spacing w:val="-6"/>
          <w:sz w:val="22"/>
        </w:rPr>
        <w:t xml:space="preserve">, las entidades </w:t>
      </w:r>
      <w:r w:rsidR="004169A3" w:rsidRPr="00833A4F">
        <w:rPr>
          <w:color w:val="404040"/>
          <w:spacing w:val="-6"/>
          <w:sz w:val="22"/>
        </w:rPr>
        <w:t xml:space="preserve">que tributan al tipo general, el tipo del 35%, o al de las entidades de reducida dimensión </w:t>
      </w:r>
      <w:r w:rsidRPr="00833A4F">
        <w:rPr>
          <w:color w:val="404040"/>
          <w:spacing w:val="-6"/>
          <w:sz w:val="22"/>
        </w:rPr>
        <w:t xml:space="preserve">podrán </w:t>
      </w:r>
      <w:r w:rsidRPr="00833A4F">
        <w:rPr>
          <w:color w:val="404040"/>
          <w:spacing w:val="-6"/>
          <w:sz w:val="22"/>
          <w:bdr w:val="single" w:sz="4" w:space="0" w:color="auto"/>
        </w:rPr>
        <w:t>optar</w:t>
      </w:r>
      <w:r w:rsidRPr="00833A4F">
        <w:rPr>
          <w:color w:val="404040"/>
          <w:spacing w:val="-6"/>
          <w:sz w:val="22"/>
        </w:rPr>
        <w:t xml:space="preserve"> po</w:t>
      </w:r>
      <w:r w:rsidR="004169A3" w:rsidRPr="00833A4F">
        <w:rPr>
          <w:color w:val="404040"/>
          <w:spacing w:val="-6"/>
          <w:sz w:val="22"/>
        </w:rPr>
        <w:t xml:space="preserve">r </w:t>
      </w:r>
      <w:r w:rsidR="004169A3" w:rsidRPr="00833A4F">
        <w:rPr>
          <w:b/>
          <w:color w:val="404040"/>
          <w:spacing w:val="-6"/>
          <w:sz w:val="22"/>
        </w:rPr>
        <w:t>no aplicar el límite</w:t>
      </w:r>
      <w:r w:rsidR="004169A3" w:rsidRPr="00833A4F">
        <w:rPr>
          <w:color w:val="404040"/>
          <w:spacing w:val="-6"/>
          <w:sz w:val="22"/>
        </w:rPr>
        <w:t xml:space="preserve"> conjunto, y </w:t>
      </w:r>
      <w:r w:rsidRPr="00833A4F">
        <w:rPr>
          <w:color w:val="404040"/>
          <w:spacing w:val="-6"/>
          <w:sz w:val="22"/>
        </w:rPr>
        <w:t xml:space="preserve">en su caso, </w:t>
      </w:r>
      <w:r w:rsidR="007E5C00" w:rsidRPr="00833A4F">
        <w:rPr>
          <w:b/>
          <w:color w:val="404040"/>
          <w:spacing w:val="-6"/>
          <w:sz w:val="22"/>
        </w:rPr>
        <w:t xml:space="preserve">solicitar </w:t>
      </w:r>
      <w:r w:rsidRPr="00833A4F">
        <w:rPr>
          <w:b/>
          <w:color w:val="404040"/>
          <w:spacing w:val="-6"/>
          <w:sz w:val="22"/>
        </w:rPr>
        <w:t>su abono</w:t>
      </w:r>
      <w:r w:rsidRPr="00833A4F">
        <w:rPr>
          <w:color w:val="404040"/>
          <w:spacing w:val="-6"/>
          <w:sz w:val="22"/>
        </w:rPr>
        <w:t>, siempre que se c</w:t>
      </w:r>
      <w:r w:rsidR="004169A3" w:rsidRPr="00833A4F">
        <w:rPr>
          <w:color w:val="404040"/>
          <w:spacing w:val="-6"/>
          <w:sz w:val="22"/>
        </w:rPr>
        <w:t>umplan determinados requisitos, con limitaciones y descuentos.</w:t>
      </w:r>
    </w:p>
    <w:p w:rsidR="004169A3" w:rsidRPr="00833A4F" w:rsidRDefault="004169A3" w:rsidP="00FE2C99">
      <w:pPr>
        <w:jc w:val="both"/>
        <w:rPr>
          <w:spacing w:val="-6"/>
          <w:sz w:val="16"/>
          <w:szCs w:val="16"/>
        </w:rPr>
      </w:pPr>
    </w:p>
    <w:p w:rsidR="000645A2" w:rsidRPr="00833A4F" w:rsidRDefault="000645A2" w:rsidP="00FE2C99">
      <w:pPr>
        <w:numPr>
          <w:ilvl w:val="0"/>
          <w:numId w:val="12"/>
        </w:numPr>
        <w:ind w:left="360"/>
        <w:jc w:val="both"/>
        <w:rPr>
          <w:spacing w:val="-6"/>
          <w:sz w:val="22"/>
        </w:rPr>
      </w:pPr>
      <w:r w:rsidRPr="00833A4F">
        <w:rPr>
          <w:spacing w:val="-6"/>
          <w:sz w:val="22"/>
        </w:rPr>
        <w:t xml:space="preserve">Modifica la </w:t>
      </w:r>
      <w:r w:rsidRPr="00833A4F">
        <w:rPr>
          <w:spacing w:val="-6"/>
          <w:sz w:val="22"/>
          <w:highlight w:val="lightGray"/>
        </w:rPr>
        <w:t>deducción</w:t>
      </w:r>
      <w:r w:rsidRPr="00833A4F">
        <w:rPr>
          <w:spacing w:val="-6"/>
          <w:sz w:val="22"/>
        </w:rPr>
        <w:t xml:space="preserve"> en el IS por </w:t>
      </w:r>
      <w:r w:rsidRPr="00833A4F">
        <w:rPr>
          <w:b/>
          <w:spacing w:val="-6"/>
          <w:sz w:val="22"/>
          <w:u w:val="single"/>
        </w:rPr>
        <w:t>creación de empleo para trabajadores con discapacidad</w:t>
      </w:r>
      <w:r w:rsidRPr="00833A4F">
        <w:rPr>
          <w:spacing w:val="-6"/>
          <w:sz w:val="22"/>
        </w:rPr>
        <w:t xml:space="preserve">, </w:t>
      </w:r>
      <w:r w:rsidRPr="00833A4F">
        <w:rPr>
          <w:spacing w:val="-8"/>
          <w:sz w:val="22"/>
        </w:rPr>
        <w:t>con efectos para los p</w:t>
      </w:r>
      <w:r w:rsidR="00CA69DC" w:rsidRPr="00833A4F">
        <w:rPr>
          <w:spacing w:val="-8"/>
          <w:sz w:val="22"/>
        </w:rPr>
        <w:t>eriodo</w:t>
      </w:r>
      <w:r w:rsidR="00833A4F" w:rsidRPr="00833A4F">
        <w:rPr>
          <w:spacing w:val="-8"/>
          <w:sz w:val="22"/>
        </w:rPr>
        <w:t>s</w:t>
      </w:r>
      <w:r w:rsidR="00CA69DC" w:rsidRPr="00833A4F">
        <w:rPr>
          <w:spacing w:val="-8"/>
          <w:sz w:val="22"/>
        </w:rPr>
        <w:t xml:space="preserve"> impositivos</w:t>
      </w:r>
      <w:r w:rsidRPr="00833A4F">
        <w:rPr>
          <w:spacing w:val="-8"/>
          <w:sz w:val="22"/>
        </w:rPr>
        <w:t xml:space="preserve"> iniciados a partir del</w:t>
      </w:r>
      <w:r w:rsidRPr="00833A4F">
        <w:rPr>
          <w:spacing w:val="-6"/>
          <w:sz w:val="22"/>
        </w:rPr>
        <w:t xml:space="preserve"> </w:t>
      </w:r>
      <w:r w:rsidRPr="00833A4F">
        <w:rPr>
          <w:spacing w:val="-6"/>
          <w:sz w:val="22"/>
          <w:highlight w:val="lightGray"/>
        </w:rPr>
        <w:t>01-01-2013</w:t>
      </w:r>
      <w:r w:rsidRPr="00833A4F">
        <w:rPr>
          <w:spacing w:val="-6"/>
          <w:sz w:val="22"/>
        </w:rPr>
        <w:t xml:space="preserve">, </w:t>
      </w:r>
      <w:r w:rsidRPr="00833A4F">
        <w:rPr>
          <w:b/>
          <w:spacing w:val="-6"/>
          <w:sz w:val="22"/>
        </w:rPr>
        <w:t xml:space="preserve">distinguiendo </w:t>
      </w:r>
      <w:r w:rsidRPr="00833A4F">
        <w:rPr>
          <w:spacing w:val="-6"/>
          <w:sz w:val="22"/>
        </w:rPr>
        <w:t>la cuantía de la deducción según el grado de discapacidad de los trabajadores y sin la necesidad que el contrato se</w:t>
      </w:r>
      <w:r w:rsidR="00CA24A1" w:rsidRPr="00833A4F">
        <w:rPr>
          <w:spacing w:val="-6"/>
          <w:sz w:val="22"/>
        </w:rPr>
        <w:t>a</w:t>
      </w:r>
      <w:r w:rsidRPr="00833A4F">
        <w:rPr>
          <w:spacing w:val="-6"/>
          <w:sz w:val="22"/>
        </w:rPr>
        <w:t xml:space="preserve"> por tiempo indefinido.</w:t>
      </w:r>
    </w:p>
    <w:p w:rsidR="000645A2" w:rsidRPr="00833A4F" w:rsidRDefault="000645A2" w:rsidP="00FE2C99">
      <w:pPr>
        <w:jc w:val="both"/>
        <w:rPr>
          <w:spacing w:val="-6"/>
          <w:sz w:val="16"/>
          <w:szCs w:val="16"/>
        </w:rPr>
      </w:pPr>
    </w:p>
    <w:p w:rsidR="00870FE3" w:rsidRPr="00833A4F" w:rsidRDefault="00A411DA" w:rsidP="00FE2C99">
      <w:pPr>
        <w:numPr>
          <w:ilvl w:val="0"/>
          <w:numId w:val="12"/>
        </w:numPr>
        <w:ind w:left="360"/>
        <w:jc w:val="both"/>
        <w:rPr>
          <w:color w:val="404040"/>
          <w:spacing w:val="-6"/>
          <w:sz w:val="22"/>
        </w:rPr>
      </w:pPr>
      <w:r w:rsidRPr="00833A4F">
        <w:rPr>
          <w:spacing w:val="-6"/>
          <w:sz w:val="22"/>
        </w:rPr>
        <w:t xml:space="preserve">También modifica el </w:t>
      </w:r>
      <w:r w:rsidRPr="00833A4F">
        <w:rPr>
          <w:b/>
          <w:spacing w:val="-6"/>
          <w:sz w:val="22"/>
        </w:rPr>
        <w:t xml:space="preserve">régimen fiscal aplicable </w:t>
      </w:r>
      <w:r w:rsidR="00F17537" w:rsidRPr="00833A4F">
        <w:rPr>
          <w:b/>
          <w:spacing w:val="-6"/>
          <w:sz w:val="22"/>
        </w:rPr>
        <w:t xml:space="preserve">en el IS </w:t>
      </w:r>
      <w:r w:rsidRPr="00833A4F">
        <w:rPr>
          <w:b/>
          <w:spacing w:val="-6"/>
          <w:sz w:val="22"/>
        </w:rPr>
        <w:t xml:space="preserve">a las </w:t>
      </w:r>
      <w:r w:rsidRPr="00833A4F">
        <w:rPr>
          <w:b/>
          <w:spacing w:val="-6"/>
          <w:sz w:val="22"/>
          <w:bdr w:val="single" w:sz="4" w:space="0" w:color="auto"/>
        </w:rPr>
        <w:t>rentas</w:t>
      </w:r>
      <w:r w:rsidRPr="00833A4F">
        <w:rPr>
          <w:b/>
          <w:spacing w:val="-6"/>
          <w:sz w:val="22"/>
        </w:rPr>
        <w:t xml:space="preserve"> procedentes de determinados </w:t>
      </w:r>
      <w:r w:rsidRPr="00833A4F">
        <w:rPr>
          <w:b/>
          <w:spacing w:val="-6"/>
          <w:sz w:val="22"/>
          <w:u w:val="single"/>
        </w:rPr>
        <w:t>activos intangibles</w:t>
      </w:r>
      <w:r w:rsidRPr="00833A4F">
        <w:rPr>
          <w:spacing w:val="-6"/>
          <w:sz w:val="22"/>
        </w:rPr>
        <w:t xml:space="preserve">, </w:t>
      </w:r>
      <w:r w:rsidRPr="00833A4F">
        <w:rPr>
          <w:color w:val="404040"/>
          <w:spacing w:val="-6"/>
          <w:sz w:val="22"/>
        </w:rPr>
        <w:t xml:space="preserve">con efectos para las cesiones que se realicen a partir del </w:t>
      </w:r>
      <w:r w:rsidRPr="00833A4F">
        <w:rPr>
          <w:b/>
          <w:color w:val="404040"/>
          <w:spacing w:val="-6"/>
          <w:sz w:val="22"/>
        </w:rPr>
        <w:t>29-09-2013</w:t>
      </w:r>
      <w:r w:rsidR="00B40A7F" w:rsidRPr="00833A4F">
        <w:rPr>
          <w:color w:val="404040"/>
          <w:spacing w:val="-6"/>
          <w:sz w:val="22"/>
        </w:rPr>
        <w:t xml:space="preserve">, pero incorporando un régimen transitorio. </w:t>
      </w:r>
    </w:p>
    <w:p w:rsidR="0004274C" w:rsidRPr="00833A4F" w:rsidRDefault="0004274C" w:rsidP="00FE2C99">
      <w:pPr>
        <w:jc w:val="both"/>
        <w:rPr>
          <w:spacing w:val="-6"/>
          <w:sz w:val="16"/>
          <w:szCs w:val="16"/>
        </w:rPr>
      </w:pPr>
    </w:p>
    <w:p w:rsidR="00E944CE" w:rsidRPr="00833A4F" w:rsidRDefault="00F17537" w:rsidP="00FE2C99">
      <w:pPr>
        <w:numPr>
          <w:ilvl w:val="0"/>
          <w:numId w:val="12"/>
        </w:numPr>
        <w:ind w:left="360"/>
        <w:jc w:val="both"/>
        <w:rPr>
          <w:spacing w:val="-6"/>
          <w:sz w:val="22"/>
        </w:rPr>
      </w:pPr>
      <w:r w:rsidRPr="00833A4F">
        <w:rPr>
          <w:spacing w:val="-6"/>
          <w:sz w:val="22"/>
        </w:rPr>
        <w:t>Con efectos</w:t>
      </w:r>
      <w:r w:rsidR="00E944CE" w:rsidRPr="00833A4F">
        <w:rPr>
          <w:spacing w:val="-6"/>
          <w:sz w:val="22"/>
        </w:rPr>
        <w:t xml:space="preserve"> desde </w:t>
      </w:r>
      <w:r w:rsidR="00E944CE" w:rsidRPr="00833A4F">
        <w:rPr>
          <w:b/>
          <w:spacing w:val="-6"/>
          <w:sz w:val="22"/>
        </w:rPr>
        <w:t>01-01-2014</w:t>
      </w:r>
      <w:r w:rsidR="00E944CE" w:rsidRPr="00833A4F">
        <w:rPr>
          <w:spacing w:val="-6"/>
          <w:sz w:val="22"/>
        </w:rPr>
        <w:t xml:space="preserve">, </w:t>
      </w:r>
      <w:r w:rsidRPr="00833A4F">
        <w:rPr>
          <w:b/>
          <w:spacing w:val="-6"/>
          <w:sz w:val="22"/>
        </w:rPr>
        <w:t xml:space="preserve">introduce </w:t>
      </w:r>
      <w:r w:rsidR="00E944CE" w:rsidRPr="00833A4F">
        <w:rPr>
          <w:b/>
          <w:spacing w:val="-6"/>
          <w:sz w:val="22"/>
        </w:rPr>
        <w:t>el nuevo</w:t>
      </w:r>
      <w:r w:rsidRPr="00833A4F">
        <w:rPr>
          <w:b/>
          <w:spacing w:val="-6"/>
          <w:sz w:val="22"/>
          <w:u w:val="single"/>
        </w:rPr>
        <w:t xml:space="preserve"> Régimen Especial del Criterio de Caja</w:t>
      </w:r>
      <w:r w:rsidR="006D4FAA" w:rsidRPr="00833A4F">
        <w:rPr>
          <w:b/>
          <w:spacing w:val="-6"/>
          <w:sz w:val="22"/>
          <w:u w:val="single"/>
        </w:rPr>
        <w:t xml:space="preserve"> en el IVA</w:t>
      </w:r>
      <w:r w:rsidR="005F176A" w:rsidRPr="00833A4F">
        <w:rPr>
          <w:b/>
          <w:spacing w:val="-6"/>
          <w:sz w:val="22"/>
          <w:u w:val="single"/>
        </w:rPr>
        <w:t>,</w:t>
      </w:r>
      <w:r w:rsidR="00790E2B" w:rsidRPr="00833A4F">
        <w:rPr>
          <w:b/>
          <w:spacing w:val="-6"/>
          <w:sz w:val="22"/>
          <w:u w:val="single"/>
        </w:rPr>
        <w:t xml:space="preserve"> </w:t>
      </w:r>
      <w:r w:rsidR="00790E2B" w:rsidRPr="00833A4F">
        <w:rPr>
          <w:spacing w:val="-6"/>
          <w:sz w:val="22"/>
        </w:rPr>
        <w:t xml:space="preserve">al </w:t>
      </w:r>
      <w:r w:rsidR="00790E2B" w:rsidRPr="00833A4F">
        <w:rPr>
          <w:color w:val="404040"/>
          <w:spacing w:val="-6"/>
          <w:sz w:val="22"/>
        </w:rPr>
        <w:t xml:space="preserve">que </w:t>
      </w:r>
      <w:r w:rsidR="00E944CE" w:rsidRPr="00717B33">
        <w:rPr>
          <w:color w:val="404040"/>
          <w:spacing w:val="-6"/>
          <w:sz w:val="22"/>
          <w:bdr w:val="single" w:sz="4" w:space="0" w:color="auto"/>
        </w:rPr>
        <w:t>podrán</w:t>
      </w:r>
      <w:r w:rsidR="00E944CE" w:rsidRPr="00833A4F">
        <w:rPr>
          <w:color w:val="404040"/>
          <w:spacing w:val="-6"/>
          <w:sz w:val="22"/>
        </w:rPr>
        <w:t xml:space="preserve"> acogerse </w:t>
      </w:r>
      <w:r w:rsidR="007D4587" w:rsidRPr="00833A4F">
        <w:rPr>
          <w:color w:val="404040"/>
          <w:spacing w:val="-6"/>
          <w:sz w:val="22"/>
        </w:rPr>
        <w:t>determinados sujetos</w:t>
      </w:r>
      <w:r w:rsidR="00790E2B" w:rsidRPr="00833A4F">
        <w:rPr>
          <w:color w:val="404040"/>
          <w:spacing w:val="-6"/>
          <w:sz w:val="22"/>
        </w:rPr>
        <w:t xml:space="preserve">, y que </w:t>
      </w:r>
      <w:r w:rsidR="00790E2B" w:rsidRPr="00833A4F">
        <w:rPr>
          <w:b/>
          <w:color w:val="404040"/>
          <w:spacing w:val="-6"/>
          <w:sz w:val="22"/>
        </w:rPr>
        <w:t>permite retrasar el devengo y la consiguiente declaración e ingreso</w:t>
      </w:r>
      <w:r w:rsidR="00790E2B" w:rsidRPr="00833A4F">
        <w:rPr>
          <w:color w:val="404040"/>
          <w:spacing w:val="-6"/>
          <w:sz w:val="22"/>
        </w:rPr>
        <w:t xml:space="preserve"> del IVA repercutido hasta el momento del cobro total o parcial del precio por los importes efectivamente cobrados, pero que también retrasa la deducción del IVA soportado hasta el momento en que se efectúe el pago (criterio de caja doble), y en ambos casos con </w:t>
      </w:r>
      <w:r w:rsidR="00790E2B" w:rsidRPr="00833A4F">
        <w:rPr>
          <w:color w:val="000000"/>
          <w:spacing w:val="-6"/>
          <w:sz w:val="22"/>
        </w:rPr>
        <w:t xml:space="preserve">la </w:t>
      </w:r>
      <w:r w:rsidR="00790E2B" w:rsidRPr="00833A4F">
        <w:rPr>
          <w:color w:val="000000"/>
          <w:spacing w:val="-6"/>
          <w:sz w:val="22"/>
          <w:u w:val="single"/>
        </w:rPr>
        <w:t xml:space="preserve">fecha límite </w:t>
      </w:r>
      <w:r w:rsidR="007D4587" w:rsidRPr="00833A4F">
        <w:rPr>
          <w:color w:val="000000"/>
          <w:spacing w:val="-6"/>
          <w:sz w:val="22"/>
          <w:u w:val="single"/>
        </w:rPr>
        <w:t>del 31 de diciembre del año inmediato posterior</w:t>
      </w:r>
      <w:r w:rsidR="007D4587" w:rsidRPr="00833A4F">
        <w:rPr>
          <w:color w:val="404040"/>
          <w:spacing w:val="-6"/>
          <w:sz w:val="22"/>
        </w:rPr>
        <w:t xml:space="preserve"> a aquel en que se hayan efectuado las operaciones. Este régimen está sujeto al cumplimiento de requisitos subjet</w:t>
      </w:r>
      <w:r w:rsidR="00551FD7">
        <w:rPr>
          <w:color w:val="404040"/>
          <w:spacing w:val="-6"/>
          <w:sz w:val="22"/>
        </w:rPr>
        <w:t xml:space="preserve">ivos, objetivos y formales que constan en el </w:t>
      </w:r>
      <w:r w:rsidR="007D4587" w:rsidRPr="00833A4F">
        <w:rPr>
          <w:color w:val="404040"/>
          <w:spacing w:val="-6"/>
          <w:sz w:val="22"/>
          <w:highlight w:val="lightGray"/>
        </w:rPr>
        <w:t xml:space="preserve">reglamento </w:t>
      </w:r>
      <w:r w:rsidR="00551FD7">
        <w:rPr>
          <w:color w:val="404040"/>
          <w:spacing w:val="-6"/>
          <w:sz w:val="22"/>
          <w:highlight w:val="lightGray"/>
        </w:rPr>
        <w:t xml:space="preserve">que </w:t>
      </w:r>
      <w:r w:rsidR="007D4587" w:rsidRPr="00833A4F">
        <w:rPr>
          <w:color w:val="404040"/>
          <w:spacing w:val="-6"/>
          <w:sz w:val="22"/>
          <w:highlight w:val="lightGray"/>
        </w:rPr>
        <w:t>está pendiente</w:t>
      </w:r>
      <w:r w:rsidR="007D4587" w:rsidRPr="00833A4F">
        <w:rPr>
          <w:color w:val="404040"/>
          <w:spacing w:val="-6"/>
          <w:sz w:val="22"/>
        </w:rPr>
        <w:t xml:space="preserve"> de aprobación definitiva y publicación</w:t>
      </w:r>
      <w:r w:rsidR="007D4587" w:rsidRPr="00833A4F">
        <w:rPr>
          <w:spacing w:val="-6"/>
          <w:sz w:val="22"/>
        </w:rPr>
        <w:t>.</w:t>
      </w:r>
    </w:p>
    <w:p w:rsidR="00F17537" w:rsidRPr="00833A4F" w:rsidRDefault="00F17537" w:rsidP="00D54000">
      <w:pPr>
        <w:jc w:val="both"/>
        <w:rPr>
          <w:spacing w:val="-6"/>
          <w:sz w:val="22"/>
        </w:rPr>
      </w:pPr>
    </w:p>
    <w:p w:rsidR="00E7258F" w:rsidRPr="00833A4F" w:rsidRDefault="00E7258F" w:rsidP="00D54000">
      <w:pPr>
        <w:jc w:val="both"/>
        <w:rPr>
          <w:spacing w:val="-6"/>
          <w:sz w:val="22"/>
        </w:rPr>
      </w:pPr>
    </w:p>
    <w:p w:rsidR="00DD0888" w:rsidRPr="00833A4F" w:rsidRDefault="00D54000" w:rsidP="00D54000">
      <w:pPr>
        <w:jc w:val="both"/>
        <w:rPr>
          <w:spacing w:val="-6"/>
          <w:sz w:val="24"/>
          <w:szCs w:val="24"/>
          <w:u w:val="single"/>
        </w:rPr>
      </w:pPr>
      <w:r w:rsidRPr="00833A4F">
        <w:rPr>
          <w:spacing w:val="-6"/>
          <w:sz w:val="24"/>
          <w:szCs w:val="24"/>
          <w:u w:val="single"/>
        </w:rPr>
        <w:t xml:space="preserve">En materia mercantil-contable-contratación pública-licencias municipales: </w:t>
      </w:r>
    </w:p>
    <w:p w:rsidR="00DD0888" w:rsidRPr="00833A4F" w:rsidRDefault="00DD0888" w:rsidP="00D54000">
      <w:pPr>
        <w:jc w:val="both"/>
        <w:rPr>
          <w:spacing w:val="-6"/>
          <w:sz w:val="22"/>
        </w:rPr>
      </w:pPr>
    </w:p>
    <w:p w:rsidR="00631AD5" w:rsidRPr="00833A4F" w:rsidRDefault="00631AD5" w:rsidP="005F176A">
      <w:pPr>
        <w:numPr>
          <w:ilvl w:val="0"/>
          <w:numId w:val="13"/>
        </w:numPr>
        <w:ind w:left="360"/>
        <w:jc w:val="both"/>
        <w:rPr>
          <w:color w:val="000000"/>
          <w:spacing w:val="-6"/>
          <w:sz w:val="22"/>
        </w:rPr>
      </w:pPr>
      <w:r w:rsidRPr="00833A4F">
        <w:rPr>
          <w:spacing w:val="-6"/>
          <w:sz w:val="22"/>
        </w:rPr>
        <w:t>Se crea un nueva figura mercantil, el “</w:t>
      </w:r>
      <w:r w:rsidRPr="00833A4F">
        <w:rPr>
          <w:b/>
          <w:spacing w:val="-6"/>
          <w:sz w:val="22"/>
          <w:u w:val="single"/>
        </w:rPr>
        <w:t>Emprendedor de Responsabilidad Limitada”</w:t>
      </w:r>
      <w:r w:rsidRPr="00833A4F">
        <w:rPr>
          <w:spacing w:val="-6"/>
          <w:sz w:val="22"/>
        </w:rPr>
        <w:t xml:space="preserve"> (</w:t>
      </w:r>
      <w:r w:rsidRPr="00833A4F">
        <w:rPr>
          <w:color w:val="404040"/>
          <w:spacing w:val="-6"/>
          <w:sz w:val="22"/>
        </w:rPr>
        <w:t xml:space="preserve">siglas ERL), para que el emprendedor </w:t>
      </w:r>
      <w:r w:rsidRPr="00833A4F">
        <w:rPr>
          <w:color w:val="404040"/>
          <w:spacing w:val="-6"/>
          <w:sz w:val="22"/>
          <w:bdr w:val="single" w:sz="4" w:space="0" w:color="auto"/>
        </w:rPr>
        <w:t>persona física</w:t>
      </w:r>
      <w:r w:rsidRPr="00833A4F">
        <w:rPr>
          <w:color w:val="404040"/>
          <w:spacing w:val="-6"/>
          <w:sz w:val="22"/>
        </w:rPr>
        <w:t>, cualquiera que sea su actividad, pueda limitar su responsabilidad por las deudas que traigan causa del ejercicio de dicha actividad empresarial o profesional, mediante la asunción de la condición de ERL, una vez cumplidos los requisitos que se establecen</w:t>
      </w:r>
      <w:r w:rsidR="00A9045A" w:rsidRPr="00833A4F">
        <w:rPr>
          <w:color w:val="404040"/>
          <w:spacing w:val="-6"/>
          <w:sz w:val="22"/>
        </w:rPr>
        <w:t xml:space="preserve"> en la normativa, entre los que destacamos las oportunas </w:t>
      </w:r>
      <w:r w:rsidR="00A9045A" w:rsidRPr="00833A4F">
        <w:rPr>
          <w:color w:val="404040"/>
          <w:spacing w:val="-6"/>
          <w:sz w:val="22"/>
          <w:u w:val="single"/>
        </w:rPr>
        <w:t>inscripciones registrales</w:t>
      </w:r>
      <w:r w:rsidR="00A9045A" w:rsidRPr="00833A4F">
        <w:rPr>
          <w:color w:val="404040"/>
          <w:spacing w:val="-6"/>
          <w:sz w:val="22"/>
        </w:rPr>
        <w:t xml:space="preserve">.  </w:t>
      </w:r>
      <w:r w:rsidRPr="00833A4F">
        <w:rPr>
          <w:color w:val="404040"/>
          <w:spacing w:val="-6"/>
          <w:sz w:val="22"/>
        </w:rPr>
        <w:t xml:space="preserve">Con esta figura, la responsabilidad </w:t>
      </w:r>
      <w:r w:rsidRPr="00833A4F">
        <w:rPr>
          <w:color w:val="404040"/>
          <w:spacing w:val="-6"/>
          <w:sz w:val="22"/>
          <w:highlight w:val="lightGray"/>
        </w:rPr>
        <w:t>no afectará a la vivienda habitual</w:t>
      </w:r>
      <w:r w:rsidRPr="00833A4F">
        <w:rPr>
          <w:color w:val="404040"/>
          <w:spacing w:val="-6"/>
          <w:sz w:val="22"/>
        </w:rPr>
        <w:t xml:space="preserve"> del deudor  siempre que </w:t>
      </w:r>
      <w:r w:rsidRPr="00833A4F">
        <w:rPr>
          <w:color w:val="404040"/>
          <w:spacing w:val="-6"/>
          <w:sz w:val="22"/>
          <w:u w:val="single"/>
        </w:rPr>
        <w:t>su valor no supere los 300.000 euros</w:t>
      </w:r>
      <w:r w:rsidR="00A9045A" w:rsidRPr="00833A4F">
        <w:rPr>
          <w:color w:val="404040"/>
          <w:spacing w:val="-6"/>
          <w:sz w:val="22"/>
          <w:u w:val="single"/>
        </w:rPr>
        <w:t>.</w:t>
      </w:r>
      <w:r w:rsidRPr="00833A4F">
        <w:rPr>
          <w:color w:val="404040"/>
          <w:spacing w:val="-6"/>
          <w:sz w:val="22"/>
        </w:rPr>
        <w:t xml:space="preserve"> </w:t>
      </w:r>
      <w:r w:rsidR="00A9045A" w:rsidRPr="00833A4F">
        <w:rPr>
          <w:color w:val="404040"/>
          <w:spacing w:val="-6"/>
          <w:sz w:val="22"/>
        </w:rPr>
        <w:t xml:space="preserve">La </w:t>
      </w:r>
      <w:r w:rsidR="00A9045A" w:rsidRPr="00833A4F">
        <w:rPr>
          <w:b/>
          <w:color w:val="404040"/>
          <w:spacing w:val="-6"/>
          <w:sz w:val="22"/>
        </w:rPr>
        <w:t xml:space="preserve">limitación </w:t>
      </w:r>
      <w:r w:rsidR="00A9045A" w:rsidRPr="00833A4F">
        <w:rPr>
          <w:color w:val="404040"/>
          <w:spacing w:val="-6"/>
          <w:sz w:val="22"/>
        </w:rPr>
        <w:t xml:space="preserve">de responsabilidad </w:t>
      </w:r>
      <w:r w:rsidR="00720B95" w:rsidRPr="00833A4F">
        <w:rPr>
          <w:color w:val="404040"/>
          <w:spacing w:val="-6"/>
          <w:sz w:val="22"/>
          <w:highlight w:val="lightGray"/>
          <w:u w:val="single"/>
        </w:rPr>
        <w:t>no se aplicará</w:t>
      </w:r>
      <w:r w:rsidR="00A9045A" w:rsidRPr="00833A4F">
        <w:rPr>
          <w:color w:val="404040"/>
          <w:spacing w:val="-6"/>
          <w:sz w:val="22"/>
        </w:rPr>
        <w:t xml:space="preserve"> respecto a determinadas deudas de Derecho Público, como las </w:t>
      </w:r>
      <w:r w:rsidR="00A9045A" w:rsidRPr="00833A4F">
        <w:rPr>
          <w:b/>
          <w:color w:val="000000"/>
          <w:spacing w:val="-6"/>
          <w:sz w:val="22"/>
        </w:rPr>
        <w:t>deudas tributarias y de la Seguridad Social</w:t>
      </w:r>
      <w:r w:rsidR="00720B95" w:rsidRPr="00833A4F">
        <w:rPr>
          <w:b/>
          <w:color w:val="000000"/>
          <w:spacing w:val="-6"/>
          <w:sz w:val="22"/>
        </w:rPr>
        <w:t>.</w:t>
      </w:r>
    </w:p>
    <w:p w:rsidR="00631AD5" w:rsidRPr="00833A4F" w:rsidRDefault="00631AD5" w:rsidP="005F176A">
      <w:pPr>
        <w:jc w:val="both"/>
        <w:rPr>
          <w:spacing w:val="-6"/>
          <w:sz w:val="22"/>
        </w:rPr>
      </w:pPr>
    </w:p>
    <w:p w:rsidR="000E04CD" w:rsidRPr="00833A4F" w:rsidRDefault="000E04CD" w:rsidP="005F176A">
      <w:pPr>
        <w:numPr>
          <w:ilvl w:val="0"/>
          <w:numId w:val="13"/>
        </w:numPr>
        <w:ind w:left="360"/>
        <w:jc w:val="both"/>
        <w:rPr>
          <w:color w:val="404040"/>
          <w:spacing w:val="-6"/>
          <w:sz w:val="22"/>
        </w:rPr>
      </w:pPr>
      <w:r w:rsidRPr="00833A4F">
        <w:rPr>
          <w:spacing w:val="-6"/>
          <w:sz w:val="22"/>
        </w:rPr>
        <w:t>Se crea un nuevo subtipo societario, la  “</w:t>
      </w:r>
      <w:r w:rsidRPr="00833A4F">
        <w:rPr>
          <w:b/>
          <w:spacing w:val="-6"/>
          <w:sz w:val="22"/>
          <w:u w:val="single"/>
        </w:rPr>
        <w:t>Sociedad Limitada de Formación sucesiva</w:t>
      </w:r>
      <w:r w:rsidRPr="00833A4F">
        <w:rPr>
          <w:spacing w:val="-6"/>
          <w:sz w:val="22"/>
        </w:rPr>
        <w:t xml:space="preserve">” </w:t>
      </w:r>
      <w:r w:rsidRPr="00833A4F">
        <w:rPr>
          <w:color w:val="404040"/>
          <w:spacing w:val="-6"/>
          <w:sz w:val="22"/>
        </w:rPr>
        <w:t xml:space="preserve">(SLFS), que posibilita la constitución de sociedades con una cifra de </w:t>
      </w:r>
      <w:r w:rsidRPr="00833A4F">
        <w:rPr>
          <w:b/>
          <w:color w:val="000000"/>
          <w:spacing w:val="-6"/>
          <w:sz w:val="22"/>
        </w:rPr>
        <w:t>capital social inferior a tres mil euros</w:t>
      </w:r>
      <w:r w:rsidRPr="00833A4F">
        <w:rPr>
          <w:color w:val="000000"/>
          <w:spacing w:val="-6"/>
          <w:sz w:val="22"/>
        </w:rPr>
        <w:t>,</w:t>
      </w:r>
      <w:r w:rsidRPr="00833A4F">
        <w:rPr>
          <w:color w:val="404040"/>
          <w:spacing w:val="-6"/>
          <w:sz w:val="22"/>
        </w:rPr>
        <w:t xml:space="preserve"> </w:t>
      </w:r>
      <w:r w:rsidR="0091256C" w:rsidRPr="00833A4F">
        <w:rPr>
          <w:color w:val="404040"/>
          <w:spacing w:val="-6"/>
          <w:sz w:val="22"/>
        </w:rPr>
        <w:t>al que se aplica el</w:t>
      </w:r>
      <w:r w:rsidRPr="00833A4F">
        <w:rPr>
          <w:color w:val="404040"/>
          <w:spacing w:val="-6"/>
          <w:sz w:val="22"/>
        </w:rPr>
        <w:t xml:space="preserve"> régimen de las sociedades de responsabilidad limitada, salvo determinadas condiciones específicas tendentes a proteger los intereses de terceros</w:t>
      </w:r>
      <w:r w:rsidR="009208CA" w:rsidRPr="00833A4F">
        <w:rPr>
          <w:color w:val="404040"/>
          <w:spacing w:val="-6"/>
          <w:sz w:val="22"/>
        </w:rPr>
        <w:t>,</w:t>
      </w:r>
      <w:r w:rsidRPr="00833A4F">
        <w:rPr>
          <w:color w:val="404040"/>
          <w:spacing w:val="-6"/>
          <w:sz w:val="22"/>
        </w:rPr>
        <w:t xml:space="preserve"> que se aplicará</w:t>
      </w:r>
      <w:r w:rsidR="0091256C" w:rsidRPr="00833A4F">
        <w:rPr>
          <w:color w:val="404040"/>
          <w:spacing w:val="-6"/>
          <w:sz w:val="22"/>
        </w:rPr>
        <w:t>n</w:t>
      </w:r>
      <w:r w:rsidRPr="00833A4F">
        <w:rPr>
          <w:color w:val="404040"/>
          <w:spacing w:val="-6"/>
          <w:sz w:val="22"/>
        </w:rPr>
        <w:t xml:space="preserve"> mientras no se alcance la cifra de capital social mínimo para la constitución de una SRL.</w:t>
      </w:r>
    </w:p>
    <w:p w:rsidR="009208CA" w:rsidRPr="00833A4F" w:rsidRDefault="009208CA" w:rsidP="005F176A">
      <w:pPr>
        <w:jc w:val="both"/>
        <w:rPr>
          <w:spacing w:val="-6"/>
          <w:sz w:val="22"/>
        </w:rPr>
      </w:pPr>
    </w:p>
    <w:p w:rsidR="009208CA" w:rsidRPr="00833A4F" w:rsidRDefault="00720B95" w:rsidP="005F176A">
      <w:pPr>
        <w:numPr>
          <w:ilvl w:val="0"/>
          <w:numId w:val="13"/>
        </w:numPr>
        <w:ind w:left="360"/>
        <w:jc w:val="both"/>
        <w:rPr>
          <w:color w:val="404040"/>
          <w:spacing w:val="-6"/>
          <w:sz w:val="22"/>
        </w:rPr>
      </w:pPr>
      <w:r w:rsidRPr="00833A4F">
        <w:rPr>
          <w:spacing w:val="-6"/>
          <w:sz w:val="22"/>
        </w:rPr>
        <w:t xml:space="preserve">Todos </w:t>
      </w:r>
      <w:r w:rsidRPr="00833A4F">
        <w:rPr>
          <w:b/>
          <w:spacing w:val="-6"/>
          <w:sz w:val="22"/>
          <w:u w:val="single"/>
        </w:rPr>
        <w:t>los libros</w:t>
      </w:r>
      <w:r w:rsidRPr="00833A4F">
        <w:rPr>
          <w:spacing w:val="-6"/>
          <w:sz w:val="22"/>
        </w:rPr>
        <w:t xml:space="preserve"> que </w:t>
      </w:r>
      <w:r w:rsidRPr="00833A4F">
        <w:rPr>
          <w:b/>
          <w:spacing w:val="-6"/>
          <w:sz w:val="22"/>
          <w:u w:val="single"/>
        </w:rPr>
        <w:t>obligatoriamente</w:t>
      </w:r>
      <w:r w:rsidR="009208CA" w:rsidRPr="00833A4F">
        <w:rPr>
          <w:b/>
          <w:spacing w:val="-6"/>
          <w:sz w:val="22"/>
        </w:rPr>
        <w:t xml:space="preserve"> deban llevar</w:t>
      </w:r>
      <w:r w:rsidR="009208CA" w:rsidRPr="00833A4F">
        <w:rPr>
          <w:spacing w:val="-6"/>
          <w:sz w:val="22"/>
        </w:rPr>
        <w:t xml:space="preserve"> </w:t>
      </w:r>
      <w:r w:rsidR="009208CA" w:rsidRPr="00833A4F">
        <w:rPr>
          <w:color w:val="404040"/>
          <w:spacing w:val="-6"/>
          <w:sz w:val="22"/>
        </w:rPr>
        <w:t xml:space="preserve">los empresarios con arreglo a las disposiciones legales aplicables, </w:t>
      </w:r>
      <w:r w:rsidR="009208CA" w:rsidRPr="00833A4F">
        <w:rPr>
          <w:b/>
          <w:color w:val="404040"/>
          <w:spacing w:val="-6"/>
          <w:sz w:val="22"/>
        </w:rPr>
        <w:t>incluidos</w:t>
      </w:r>
      <w:r w:rsidR="009208CA" w:rsidRPr="00833A4F">
        <w:rPr>
          <w:color w:val="404040"/>
          <w:spacing w:val="-6"/>
          <w:sz w:val="22"/>
        </w:rPr>
        <w:t xml:space="preserve"> los libros de actas de juntas y demás órganos colegiados, o los libros registros de socios y de acciones nominativas, </w:t>
      </w:r>
      <w:r w:rsidR="009208CA" w:rsidRPr="00833A4F">
        <w:rPr>
          <w:color w:val="404040"/>
          <w:spacing w:val="-6"/>
          <w:sz w:val="22"/>
          <w:highlight w:val="lightGray"/>
        </w:rPr>
        <w:t>se legalizarán telemáticamente</w:t>
      </w:r>
      <w:r w:rsidR="009208CA" w:rsidRPr="00833A4F">
        <w:rPr>
          <w:color w:val="404040"/>
          <w:spacing w:val="-6"/>
          <w:sz w:val="22"/>
        </w:rPr>
        <w:t xml:space="preserve"> en el </w:t>
      </w:r>
      <w:r w:rsidR="009208CA" w:rsidRPr="00833A4F">
        <w:rPr>
          <w:color w:val="404040"/>
          <w:spacing w:val="-6"/>
          <w:sz w:val="22"/>
          <w:highlight w:val="lightGray"/>
        </w:rPr>
        <w:t>RM</w:t>
      </w:r>
      <w:r w:rsidR="009208CA" w:rsidRPr="00833A4F">
        <w:rPr>
          <w:color w:val="404040"/>
          <w:spacing w:val="-6"/>
          <w:sz w:val="22"/>
        </w:rPr>
        <w:t xml:space="preserve"> después de su cumplimentación en soporte electrónico y antes de que trascurran </w:t>
      </w:r>
      <w:r w:rsidR="009208CA" w:rsidRPr="00833A4F">
        <w:rPr>
          <w:color w:val="404040"/>
          <w:spacing w:val="-6"/>
          <w:sz w:val="22"/>
          <w:highlight w:val="lightGray"/>
        </w:rPr>
        <w:t>4 meses siguientes</w:t>
      </w:r>
      <w:r w:rsidR="009208CA" w:rsidRPr="00833A4F">
        <w:rPr>
          <w:color w:val="404040"/>
          <w:spacing w:val="-6"/>
          <w:sz w:val="22"/>
        </w:rPr>
        <w:t xml:space="preserve"> a la fecha del cierre del ejercicio. </w:t>
      </w:r>
    </w:p>
    <w:p w:rsidR="009208CA" w:rsidRPr="00833A4F" w:rsidRDefault="009208CA" w:rsidP="005F176A">
      <w:pPr>
        <w:jc w:val="both"/>
        <w:rPr>
          <w:color w:val="404040"/>
          <w:spacing w:val="-6"/>
          <w:sz w:val="22"/>
        </w:rPr>
      </w:pPr>
    </w:p>
    <w:p w:rsidR="009208CA" w:rsidRPr="00833A4F" w:rsidRDefault="009208CA" w:rsidP="005F176A">
      <w:pPr>
        <w:numPr>
          <w:ilvl w:val="0"/>
          <w:numId w:val="13"/>
        </w:numPr>
        <w:ind w:left="360"/>
        <w:jc w:val="both"/>
        <w:rPr>
          <w:color w:val="404040"/>
          <w:spacing w:val="-6"/>
          <w:sz w:val="22"/>
        </w:rPr>
      </w:pPr>
      <w:r w:rsidRPr="00833A4F">
        <w:rPr>
          <w:spacing w:val="-6"/>
          <w:sz w:val="22"/>
        </w:rPr>
        <w:t xml:space="preserve">Los empresarios podrán </w:t>
      </w:r>
      <w:r w:rsidRPr="00833A4F">
        <w:rPr>
          <w:spacing w:val="-6"/>
          <w:sz w:val="22"/>
          <w:u w:val="single"/>
        </w:rPr>
        <w:t xml:space="preserve">VOLUNTARIAMENTE </w:t>
      </w:r>
      <w:r w:rsidRPr="00833A4F">
        <w:rPr>
          <w:spacing w:val="-6"/>
          <w:sz w:val="22"/>
        </w:rPr>
        <w:t xml:space="preserve">legalizar </w:t>
      </w:r>
      <w:r w:rsidRPr="00833A4F">
        <w:rPr>
          <w:b/>
          <w:spacing w:val="-6"/>
          <w:sz w:val="22"/>
        </w:rPr>
        <w:t>libros de detalle de actas o</w:t>
      </w:r>
      <w:r w:rsidRPr="00833A4F">
        <w:rPr>
          <w:spacing w:val="-6"/>
          <w:sz w:val="22"/>
        </w:rPr>
        <w:t xml:space="preserve"> </w:t>
      </w:r>
      <w:r w:rsidRPr="00833A4F">
        <w:rPr>
          <w:color w:val="404040"/>
          <w:spacing w:val="-6"/>
          <w:sz w:val="22"/>
        </w:rPr>
        <w:t xml:space="preserve">grupos de actas formados con una periodicidad inferior a la anual </w:t>
      </w:r>
      <w:r w:rsidRPr="00833A4F">
        <w:rPr>
          <w:color w:val="404040"/>
          <w:spacing w:val="-6"/>
          <w:sz w:val="22"/>
          <w:highlight w:val="lightGray"/>
        </w:rPr>
        <w:t>cuando interese</w:t>
      </w:r>
      <w:r w:rsidRPr="00833A4F">
        <w:rPr>
          <w:color w:val="404040"/>
          <w:spacing w:val="-6"/>
          <w:sz w:val="22"/>
        </w:rPr>
        <w:t xml:space="preserve"> acreditar de manera fehaciente el hecho y la fecha de su intervención por el Registrador.</w:t>
      </w:r>
    </w:p>
    <w:p w:rsidR="009208CA" w:rsidRPr="00833A4F" w:rsidRDefault="009208CA" w:rsidP="005F176A">
      <w:pPr>
        <w:jc w:val="both"/>
        <w:rPr>
          <w:spacing w:val="-6"/>
          <w:sz w:val="22"/>
        </w:rPr>
      </w:pPr>
    </w:p>
    <w:p w:rsidR="00A977EB" w:rsidRPr="00833A4F" w:rsidRDefault="00A977EB" w:rsidP="005F176A">
      <w:pPr>
        <w:numPr>
          <w:ilvl w:val="0"/>
          <w:numId w:val="13"/>
        </w:numPr>
        <w:ind w:left="360"/>
        <w:jc w:val="both"/>
        <w:rPr>
          <w:color w:val="404040"/>
          <w:spacing w:val="-6"/>
          <w:sz w:val="16"/>
          <w:szCs w:val="16"/>
        </w:rPr>
      </w:pPr>
      <w:r w:rsidRPr="00833A4F">
        <w:rPr>
          <w:spacing w:val="-6"/>
          <w:sz w:val="22"/>
        </w:rPr>
        <w:t xml:space="preserve">Elevación de los umbrales para poder formular el </w:t>
      </w:r>
      <w:r w:rsidRPr="00833A4F">
        <w:rPr>
          <w:spacing w:val="-6"/>
          <w:sz w:val="22"/>
          <w:highlight w:val="lightGray"/>
        </w:rPr>
        <w:t>BALANCE</w:t>
      </w:r>
      <w:r w:rsidRPr="00833A4F">
        <w:rPr>
          <w:spacing w:val="-6"/>
          <w:sz w:val="22"/>
        </w:rPr>
        <w:t xml:space="preserve"> y estado de cambios neto </w:t>
      </w:r>
      <w:r w:rsidRPr="00833A4F">
        <w:rPr>
          <w:spacing w:val="-6"/>
          <w:sz w:val="22"/>
          <w:highlight w:val="lightGray"/>
        </w:rPr>
        <w:t>ABREVIADOS</w:t>
      </w:r>
      <w:r w:rsidRPr="00833A4F">
        <w:rPr>
          <w:spacing w:val="-6"/>
          <w:sz w:val="22"/>
        </w:rPr>
        <w:t xml:space="preserve"> previstos en la LSC (RD </w:t>
      </w:r>
      <w:proofErr w:type="spellStart"/>
      <w:r w:rsidRPr="00833A4F">
        <w:rPr>
          <w:spacing w:val="-6"/>
          <w:sz w:val="22"/>
        </w:rPr>
        <w:t>Leg</w:t>
      </w:r>
      <w:proofErr w:type="spellEnd"/>
      <w:r w:rsidRPr="00833A4F">
        <w:rPr>
          <w:spacing w:val="-6"/>
          <w:sz w:val="22"/>
        </w:rPr>
        <w:t xml:space="preserve"> 1/2010). El </w:t>
      </w:r>
      <w:r w:rsidRPr="00833A4F">
        <w:rPr>
          <w:color w:val="404040"/>
          <w:spacing w:val="-6"/>
          <w:sz w:val="22"/>
        </w:rPr>
        <w:t xml:space="preserve">total de las partidas del activo </w:t>
      </w:r>
      <w:r w:rsidRPr="00833A4F">
        <w:rPr>
          <w:b/>
          <w:color w:val="404040"/>
          <w:spacing w:val="-6"/>
          <w:sz w:val="22"/>
        </w:rPr>
        <w:t xml:space="preserve">no </w:t>
      </w:r>
      <w:r w:rsidRPr="00833A4F">
        <w:rPr>
          <w:color w:val="404040"/>
          <w:spacing w:val="-6"/>
          <w:sz w:val="22"/>
        </w:rPr>
        <w:t xml:space="preserve">puede superar los </w:t>
      </w:r>
      <w:r w:rsidRPr="00833A4F">
        <w:rPr>
          <w:b/>
          <w:color w:val="404040"/>
          <w:spacing w:val="-6"/>
          <w:sz w:val="22"/>
          <w:u w:val="single"/>
        </w:rPr>
        <w:t>4 millones</w:t>
      </w:r>
      <w:r w:rsidRPr="00833A4F">
        <w:rPr>
          <w:color w:val="404040"/>
          <w:spacing w:val="-6"/>
          <w:sz w:val="22"/>
        </w:rPr>
        <w:t xml:space="preserve"> de euros </w:t>
      </w:r>
      <w:r w:rsidRPr="00833A4F">
        <w:rPr>
          <w:color w:val="404040"/>
          <w:spacing w:val="-6"/>
          <w:sz w:val="16"/>
          <w:szCs w:val="16"/>
        </w:rPr>
        <w:t>(antes 2.850.0000).</w:t>
      </w:r>
      <w:r w:rsidRPr="00833A4F">
        <w:rPr>
          <w:color w:val="404040"/>
          <w:spacing w:val="-6"/>
          <w:sz w:val="22"/>
        </w:rPr>
        <w:t xml:space="preserve"> El importe neto de su cifra anual de negocios </w:t>
      </w:r>
      <w:r w:rsidRPr="00833A4F">
        <w:rPr>
          <w:b/>
          <w:color w:val="404040"/>
          <w:spacing w:val="-6"/>
          <w:sz w:val="22"/>
        </w:rPr>
        <w:t xml:space="preserve">no supere los </w:t>
      </w:r>
      <w:r w:rsidRPr="00833A4F">
        <w:rPr>
          <w:b/>
          <w:color w:val="404040"/>
          <w:spacing w:val="-6"/>
          <w:sz w:val="22"/>
          <w:u w:val="single"/>
        </w:rPr>
        <w:t>8 millones</w:t>
      </w:r>
      <w:r w:rsidRPr="00833A4F">
        <w:rPr>
          <w:color w:val="404040"/>
          <w:spacing w:val="-6"/>
          <w:sz w:val="22"/>
        </w:rPr>
        <w:t xml:space="preserve"> de euros </w:t>
      </w:r>
      <w:r w:rsidRPr="00833A4F">
        <w:rPr>
          <w:color w:val="404040"/>
          <w:spacing w:val="-6"/>
          <w:sz w:val="16"/>
          <w:szCs w:val="16"/>
        </w:rPr>
        <w:t>(antes 5.700.000).</w:t>
      </w:r>
    </w:p>
    <w:p w:rsidR="000E04CD" w:rsidRPr="00833A4F" w:rsidRDefault="000E04CD" w:rsidP="005F176A">
      <w:pPr>
        <w:jc w:val="both"/>
        <w:rPr>
          <w:spacing w:val="-6"/>
          <w:sz w:val="22"/>
        </w:rPr>
      </w:pPr>
    </w:p>
    <w:p w:rsidR="00A977EB" w:rsidRPr="00833A4F" w:rsidRDefault="00A977EB" w:rsidP="005F176A">
      <w:pPr>
        <w:numPr>
          <w:ilvl w:val="0"/>
          <w:numId w:val="13"/>
        </w:numPr>
        <w:ind w:left="360"/>
        <w:jc w:val="both"/>
        <w:rPr>
          <w:color w:val="404040"/>
          <w:spacing w:val="-6"/>
          <w:sz w:val="22"/>
        </w:rPr>
      </w:pPr>
      <w:r w:rsidRPr="00833A4F">
        <w:rPr>
          <w:spacing w:val="-6"/>
          <w:sz w:val="22"/>
        </w:rPr>
        <w:t xml:space="preserve">Modifica el RD </w:t>
      </w:r>
      <w:proofErr w:type="spellStart"/>
      <w:r w:rsidRPr="00833A4F">
        <w:rPr>
          <w:spacing w:val="-6"/>
          <w:sz w:val="22"/>
        </w:rPr>
        <w:t>Leg</w:t>
      </w:r>
      <w:proofErr w:type="spellEnd"/>
      <w:r w:rsidRPr="00833A4F">
        <w:rPr>
          <w:spacing w:val="-6"/>
          <w:sz w:val="22"/>
        </w:rPr>
        <w:t xml:space="preserve"> 3/2011 para intentar eliminar obstáculos al acceso de los </w:t>
      </w:r>
      <w:r w:rsidRPr="00833A4F">
        <w:rPr>
          <w:b/>
          <w:spacing w:val="-6"/>
          <w:sz w:val="22"/>
          <w:u w:val="single"/>
        </w:rPr>
        <w:t>emprendedores a la contratación pública</w:t>
      </w:r>
      <w:r w:rsidRPr="00833A4F">
        <w:rPr>
          <w:spacing w:val="-6"/>
          <w:sz w:val="22"/>
        </w:rPr>
        <w:t xml:space="preserve">. </w:t>
      </w:r>
      <w:r w:rsidR="00605335" w:rsidRPr="00833A4F">
        <w:rPr>
          <w:color w:val="404040"/>
          <w:spacing w:val="-6"/>
          <w:sz w:val="22"/>
        </w:rPr>
        <w:t>Permite</w:t>
      </w:r>
      <w:r w:rsidR="005A791D">
        <w:rPr>
          <w:color w:val="404040"/>
          <w:spacing w:val="-6"/>
          <w:sz w:val="22"/>
        </w:rPr>
        <w:t>,</w:t>
      </w:r>
      <w:r w:rsidR="00605335" w:rsidRPr="00833A4F">
        <w:rPr>
          <w:color w:val="404040"/>
          <w:spacing w:val="-6"/>
          <w:sz w:val="22"/>
        </w:rPr>
        <w:t xml:space="preserve"> a los empresarios que</w:t>
      </w:r>
      <w:r w:rsidRPr="00833A4F">
        <w:rPr>
          <w:color w:val="404040"/>
          <w:spacing w:val="-6"/>
          <w:sz w:val="22"/>
        </w:rPr>
        <w:t xml:space="preserve"> estén interesados en formar las </w:t>
      </w:r>
      <w:r w:rsidRPr="00833A4F">
        <w:rPr>
          <w:color w:val="404040"/>
          <w:spacing w:val="-6"/>
          <w:sz w:val="22"/>
          <w:highlight w:val="lightGray"/>
        </w:rPr>
        <w:t>Uniones</w:t>
      </w:r>
      <w:r w:rsidRPr="00833A4F">
        <w:rPr>
          <w:color w:val="404040"/>
          <w:spacing w:val="-6"/>
          <w:sz w:val="22"/>
        </w:rPr>
        <w:t xml:space="preserve"> que se constituyen temporalmente para poder contratar con el sector público</w:t>
      </w:r>
      <w:r w:rsidR="005A791D">
        <w:rPr>
          <w:color w:val="404040"/>
          <w:spacing w:val="-6"/>
          <w:sz w:val="22"/>
        </w:rPr>
        <w:t>,</w:t>
      </w:r>
      <w:r w:rsidRPr="00833A4F">
        <w:rPr>
          <w:color w:val="404040"/>
          <w:spacing w:val="-6"/>
          <w:sz w:val="22"/>
        </w:rPr>
        <w:t xml:space="preserve"> darse de alta en el Registro Oficial de Licitadores y Empresas Clasificadas del Estado</w:t>
      </w:r>
      <w:r w:rsidR="00605335" w:rsidRPr="00833A4F">
        <w:rPr>
          <w:color w:val="404040"/>
          <w:spacing w:val="-6"/>
          <w:sz w:val="22"/>
        </w:rPr>
        <w:t>.</w:t>
      </w:r>
      <w:r w:rsidRPr="00833A4F">
        <w:rPr>
          <w:color w:val="404040"/>
          <w:spacing w:val="-6"/>
          <w:sz w:val="22"/>
        </w:rPr>
        <w:t xml:space="preserve"> </w:t>
      </w:r>
      <w:r w:rsidR="00605335" w:rsidRPr="00833A4F">
        <w:rPr>
          <w:color w:val="404040"/>
          <w:spacing w:val="-6"/>
          <w:sz w:val="22"/>
        </w:rPr>
        <w:t>Eleva l</w:t>
      </w:r>
      <w:r w:rsidRPr="00833A4F">
        <w:rPr>
          <w:color w:val="404040"/>
          <w:spacing w:val="-6"/>
          <w:sz w:val="22"/>
        </w:rPr>
        <w:t xml:space="preserve">os umbrales para la exigencia de la </w:t>
      </w:r>
      <w:r w:rsidRPr="00833A4F">
        <w:rPr>
          <w:color w:val="404040"/>
          <w:spacing w:val="-6"/>
          <w:sz w:val="22"/>
          <w:highlight w:val="lightGray"/>
        </w:rPr>
        <w:t>clasificación</w:t>
      </w:r>
      <w:r w:rsidRPr="00833A4F">
        <w:rPr>
          <w:color w:val="404040"/>
          <w:spacing w:val="-6"/>
          <w:sz w:val="22"/>
        </w:rPr>
        <w:t xml:space="preserve"> en los contratos con las AAPP</w:t>
      </w:r>
      <w:r w:rsidR="00605335" w:rsidRPr="00833A4F">
        <w:rPr>
          <w:color w:val="404040"/>
          <w:spacing w:val="-6"/>
          <w:sz w:val="22"/>
        </w:rPr>
        <w:t>, entre otras medidas.</w:t>
      </w:r>
    </w:p>
    <w:p w:rsidR="000E04CD" w:rsidRPr="00833A4F" w:rsidRDefault="000E04CD" w:rsidP="005F176A">
      <w:pPr>
        <w:jc w:val="both"/>
        <w:rPr>
          <w:spacing w:val="-6"/>
          <w:sz w:val="22"/>
        </w:rPr>
      </w:pPr>
    </w:p>
    <w:p w:rsidR="00605335" w:rsidRPr="00833A4F" w:rsidRDefault="00605335" w:rsidP="005F176A">
      <w:pPr>
        <w:numPr>
          <w:ilvl w:val="0"/>
          <w:numId w:val="13"/>
        </w:numPr>
        <w:ind w:left="360"/>
        <w:jc w:val="both"/>
        <w:rPr>
          <w:spacing w:val="-6"/>
          <w:sz w:val="22"/>
        </w:rPr>
      </w:pPr>
      <w:r w:rsidRPr="00833A4F">
        <w:rPr>
          <w:color w:val="404040"/>
          <w:spacing w:val="-6"/>
          <w:sz w:val="22"/>
        </w:rPr>
        <w:t>Modifica la Ley 12/2012 para ampliar, de 300</w:t>
      </w:r>
      <w:r w:rsidRPr="00833A4F">
        <w:rPr>
          <w:spacing w:val="-6"/>
          <w:sz w:val="22"/>
        </w:rPr>
        <w:t xml:space="preserve"> </w:t>
      </w:r>
      <w:r w:rsidRPr="00833A4F">
        <w:rPr>
          <w:spacing w:val="-6"/>
          <w:sz w:val="22"/>
          <w:highlight w:val="lightGray"/>
        </w:rPr>
        <w:t>a 500 metros cuadrados</w:t>
      </w:r>
      <w:r w:rsidRPr="00833A4F">
        <w:rPr>
          <w:spacing w:val="-6"/>
          <w:sz w:val="22"/>
        </w:rPr>
        <w:t xml:space="preserve">, el umbral de </w:t>
      </w:r>
      <w:r w:rsidRPr="00833A4F">
        <w:rPr>
          <w:b/>
          <w:spacing w:val="-6"/>
          <w:sz w:val="22"/>
        </w:rPr>
        <w:t xml:space="preserve">superficie </w:t>
      </w:r>
      <w:r w:rsidRPr="00833A4F">
        <w:rPr>
          <w:spacing w:val="-6"/>
          <w:sz w:val="22"/>
        </w:rPr>
        <w:t xml:space="preserve">máxima de los establecimientos que </w:t>
      </w:r>
      <w:r w:rsidRPr="00833A4F">
        <w:rPr>
          <w:b/>
          <w:spacing w:val="-6"/>
          <w:sz w:val="22"/>
          <w:u w:val="single"/>
        </w:rPr>
        <w:t>estarán exentos de licencia municipal</w:t>
      </w:r>
      <w:r w:rsidRPr="00833A4F">
        <w:rPr>
          <w:spacing w:val="-6"/>
          <w:sz w:val="22"/>
        </w:rPr>
        <w:t xml:space="preserve">, y amplía </w:t>
      </w:r>
      <w:r w:rsidR="002424F7" w:rsidRPr="00833A4F">
        <w:rPr>
          <w:spacing w:val="-6"/>
          <w:sz w:val="22"/>
        </w:rPr>
        <w:t>l</w:t>
      </w:r>
      <w:r w:rsidRPr="00833A4F">
        <w:rPr>
          <w:spacing w:val="-6"/>
          <w:sz w:val="22"/>
        </w:rPr>
        <w:t xml:space="preserve">a relación de </w:t>
      </w:r>
      <w:r w:rsidRPr="00833A4F">
        <w:rPr>
          <w:spacing w:val="-6"/>
          <w:sz w:val="22"/>
          <w:highlight w:val="lightGray"/>
        </w:rPr>
        <w:t>actividades</w:t>
      </w:r>
      <w:r w:rsidRPr="00833A4F">
        <w:rPr>
          <w:spacing w:val="-6"/>
          <w:sz w:val="22"/>
        </w:rPr>
        <w:t xml:space="preserve"> exentas.</w:t>
      </w:r>
    </w:p>
    <w:p w:rsidR="000E04CD" w:rsidRPr="00833A4F" w:rsidRDefault="000E04CD" w:rsidP="00D54000">
      <w:pPr>
        <w:jc w:val="both"/>
        <w:rPr>
          <w:spacing w:val="-6"/>
          <w:sz w:val="22"/>
        </w:rPr>
      </w:pPr>
    </w:p>
    <w:p w:rsidR="00D54000" w:rsidRPr="00833A4F" w:rsidRDefault="00D54000" w:rsidP="003573D9">
      <w:pPr>
        <w:jc w:val="both"/>
        <w:rPr>
          <w:spacing w:val="-6"/>
          <w:sz w:val="24"/>
          <w:szCs w:val="24"/>
          <w:u w:val="single"/>
        </w:rPr>
      </w:pPr>
    </w:p>
    <w:p w:rsidR="00D54000" w:rsidRPr="00833A4F" w:rsidRDefault="00D54000" w:rsidP="003573D9">
      <w:pPr>
        <w:jc w:val="both"/>
        <w:rPr>
          <w:spacing w:val="-6"/>
          <w:sz w:val="24"/>
          <w:szCs w:val="24"/>
          <w:u w:val="single"/>
        </w:rPr>
      </w:pPr>
    </w:p>
    <w:p w:rsidR="00D54000" w:rsidRPr="00833A4F" w:rsidRDefault="00D54000" w:rsidP="003573D9">
      <w:pPr>
        <w:jc w:val="both"/>
        <w:rPr>
          <w:spacing w:val="-6"/>
          <w:sz w:val="24"/>
          <w:szCs w:val="24"/>
          <w:u w:val="single"/>
        </w:rPr>
      </w:pPr>
    </w:p>
    <w:p w:rsidR="00D54000" w:rsidRPr="00833A4F" w:rsidRDefault="00D54000" w:rsidP="003573D9">
      <w:pPr>
        <w:jc w:val="both"/>
        <w:rPr>
          <w:spacing w:val="-6"/>
          <w:sz w:val="24"/>
          <w:szCs w:val="24"/>
          <w:u w:val="single"/>
        </w:rPr>
      </w:pPr>
    </w:p>
    <w:p w:rsidR="00D54000" w:rsidRPr="00833A4F" w:rsidRDefault="00D54000" w:rsidP="003573D9">
      <w:pPr>
        <w:jc w:val="both"/>
        <w:rPr>
          <w:spacing w:val="-6"/>
          <w:sz w:val="24"/>
          <w:szCs w:val="24"/>
          <w:u w:val="single"/>
        </w:rPr>
      </w:pPr>
    </w:p>
    <w:p w:rsidR="00D54000" w:rsidRPr="00833A4F" w:rsidRDefault="00D54000" w:rsidP="003573D9">
      <w:pPr>
        <w:jc w:val="both"/>
        <w:rPr>
          <w:spacing w:val="-6"/>
          <w:sz w:val="24"/>
          <w:szCs w:val="24"/>
          <w:u w:val="single"/>
        </w:rPr>
      </w:pPr>
    </w:p>
    <w:p w:rsidR="00D54000" w:rsidRPr="00833A4F" w:rsidRDefault="00D54000" w:rsidP="003573D9">
      <w:pPr>
        <w:jc w:val="both"/>
        <w:rPr>
          <w:spacing w:val="-6"/>
          <w:sz w:val="24"/>
          <w:szCs w:val="24"/>
          <w:u w:val="single"/>
        </w:rPr>
      </w:pPr>
    </w:p>
    <w:p w:rsidR="00D54000" w:rsidRPr="00833A4F" w:rsidRDefault="00D54000" w:rsidP="003573D9">
      <w:pPr>
        <w:jc w:val="both"/>
        <w:rPr>
          <w:spacing w:val="-6"/>
          <w:sz w:val="24"/>
          <w:szCs w:val="24"/>
          <w:u w:val="single"/>
        </w:rPr>
      </w:pPr>
    </w:p>
    <w:p w:rsidR="00605335" w:rsidRPr="00833A4F" w:rsidRDefault="00D54000" w:rsidP="003573D9">
      <w:pPr>
        <w:jc w:val="both"/>
        <w:rPr>
          <w:spacing w:val="-6"/>
          <w:sz w:val="24"/>
          <w:szCs w:val="24"/>
          <w:u w:val="single"/>
        </w:rPr>
      </w:pPr>
      <w:r w:rsidRPr="00833A4F">
        <w:rPr>
          <w:spacing w:val="-6"/>
          <w:sz w:val="24"/>
          <w:szCs w:val="24"/>
          <w:u w:val="single"/>
        </w:rPr>
        <w:t>En materia laboral – seguridad social – visados y autorizaciones:</w:t>
      </w:r>
    </w:p>
    <w:p w:rsidR="00D54000" w:rsidRPr="00833A4F" w:rsidRDefault="00D54000" w:rsidP="003573D9">
      <w:pPr>
        <w:jc w:val="both"/>
        <w:rPr>
          <w:spacing w:val="-6"/>
          <w:sz w:val="22"/>
        </w:rPr>
      </w:pPr>
    </w:p>
    <w:p w:rsidR="00B308E6" w:rsidRPr="00833A4F" w:rsidRDefault="00B308E6" w:rsidP="00B308E6">
      <w:pPr>
        <w:pStyle w:val="Sinespaciado"/>
        <w:jc w:val="both"/>
        <w:rPr>
          <w:rFonts w:ascii="Arial" w:hAnsi="Arial" w:cs="Arial"/>
          <w:color w:val="404040"/>
          <w:spacing w:val="-6"/>
          <w:sz w:val="20"/>
          <w:szCs w:val="20"/>
        </w:rPr>
      </w:pPr>
    </w:p>
    <w:p w:rsidR="009764CC" w:rsidRPr="00833A4F" w:rsidRDefault="00B308E6" w:rsidP="009764CC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color w:val="404040"/>
          <w:spacing w:val="-6"/>
        </w:rPr>
      </w:pPr>
      <w:r w:rsidRPr="00833A4F">
        <w:rPr>
          <w:rFonts w:ascii="Arial" w:hAnsi="Arial" w:cs="Arial"/>
          <w:b/>
          <w:color w:val="000000"/>
          <w:spacing w:val="-6"/>
          <w:u w:val="single"/>
        </w:rPr>
        <w:t>Reduce la cotización</w:t>
      </w:r>
      <w:r w:rsidRPr="00833A4F">
        <w:rPr>
          <w:rFonts w:ascii="Arial" w:hAnsi="Arial" w:cs="Arial"/>
          <w:color w:val="000000"/>
          <w:spacing w:val="-6"/>
        </w:rPr>
        <w:t xml:space="preserve"> aplicable a los trabajadores que causen </w:t>
      </w:r>
      <w:r w:rsidRPr="00833A4F">
        <w:rPr>
          <w:rFonts w:ascii="Arial" w:hAnsi="Arial" w:cs="Arial"/>
          <w:b/>
          <w:color w:val="000000"/>
          <w:spacing w:val="-6"/>
        </w:rPr>
        <w:t>alta por primera vez</w:t>
      </w:r>
      <w:r w:rsidRPr="00833A4F">
        <w:rPr>
          <w:rFonts w:ascii="Arial" w:hAnsi="Arial" w:cs="Arial"/>
          <w:color w:val="000000"/>
          <w:spacing w:val="-6"/>
        </w:rPr>
        <w:t xml:space="preserve"> en el RETA y con motivo de la misma </w:t>
      </w:r>
      <w:r w:rsidRPr="00833A4F">
        <w:rPr>
          <w:rFonts w:ascii="Arial" w:hAnsi="Arial" w:cs="Arial"/>
          <w:b/>
          <w:color w:val="000000"/>
          <w:spacing w:val="-6"/>
          <w:u w:val="single"/>
        </w:rPr>
        <w:t>inicien</w:t>
      </w:r>
      <w:r w:rsidRPr="00833A4F">
        <w:rPr>
          <w:rFonts w:ascii="Arial" w:hAnsi="Arial" w:cs="Arial"/>
          <w:b/>
          <w:color w:val="000000"/>
          <w:spacing w:val="-6"/>
        </w:rPr>
        <w:t xml:space="preserve"> </w:t>
      </w:r>
      <w:r w:rsidRPr="00833A4F">
        <w:rPr>
          <w:rFonts w:ascii="Arial" w:hAnsi="Arial" w:cs="Arial"/>
          <w:color w:val="000000"/>
          <w:spacing w:val="-6"/>
        </w:rPr>
        <w:t xml:space="preserve">una situación de </w:t>
      </w:r>
      <w:r w:rsidRPr="00833A4F">
        <w:rPr>
          <w:rFonts w:ascii="Arial" w:hAnsi="Arial" w:cs="Arial"/>
          <w:b/>
          <w:color w:val="000000"/>
          <w:spacing w:val="-6"/>
          <w:highlight w:val="lightGray"/>
        </w:rPr>
        <w:t>PLURIACTIVIDAD</w:t>
      </w:r>
      <w:r w:rsidRPr="00833A4F">
        <w:rPr>
          <w:rFonts w:ascii="Arial" w:hAnsi="Arial" w:cs="Arial"/>
          <w:color w:val="000000"/>
          <w:spacing w:val="-6"/>
        </w:rPr>
        <w:t xml:space="preserve"> a </w:t>
      </w:r>
      <w:r w:rsidRPr="00833A4F">
        <w:rPr>
          <w:rFonts w:ascii="Arial" w:hAnsi="Arial" w:cs="Arial"/>
          <w:color w:val="404040"/>
          <w:spacing w:val="-6"/>
        </w:rPr>
        <w:t xml:space="preserve">partir del  </w:t>
      </w:r>
      <w:r w:rsidR="00787A66">
        <w:rPr>
          <w:rFonts w:ascii="Arial" w:hAnsi="Arial" w:cs="Arial"/>
          <w:color w:val="404040"/>
          <w:spacing w:val="-6"/>
        </w:rPr>
        <w:t xml:space="preserve">     </w:t>
      </w:r>
      <w:r w:rsidRPr="00833A4F">
        <w:rPr>
          <w:rFonts w:ascii="Arial" w:hAnsi="Arial" w:cs="Arial"/>
          <w:b/>
          <w:color w:val="404040"/>
          <w:spacing w:val="-6"/>
        </w:rPr>
        <w:t>29-09-2013</w:t>
      </w:r>
      <w:r w:rsidRPr="00833A4F">
        <w:rPr>
          <w:rFonts w:ascii="Arial" w:hAnsi="Arial" w:cs="Arial"/>
          <w:color w:val="404040"/>
          <w:spacing w:val="-6"/>
        </w:rPr>
        <w:t xml:space="preserve">, </w:t>
      </w:r>
      <w:r w:rsidR="00CB5DB0" w:rsidRPr="00833A4F">
        <w:rPr>
          <w:rFonts w:ascii="Arial" w:hAnsi="Arial" w:cs="Arial"/>
          <w:color w:val="404040"/>
          <w:spacing w:val="-6"/>
        </w:rPr>
        <w:t xml:space="preserve">que </w:t>
      </w:r>
      <w:r w:rsidRPr="00833A4F">
        <w:rPr>
          <w:rFonts w:ascii="Arial" w:hAnsi="Arial" w:cs="Arial"/>
          <w:color w:val="404040"/>
          <w:spacing w:val="-6"/>
        </w:rPr>
        <w:t xml:space="preserve">podrán </w:t>
      </w:r>
      <w:r w:rsidRPr="00833A4F">
        <w:rPr>
          <w:rFonts w:ascii="Arial" w:hAnsi="Arial" w:cs="Arial"/>
          <w:color w:val="404040"/>
          <w:spacing w:val="-6"/>
          <w:bdr w:val="single" w:sz="4" w:space="0" w:color="auto"/>
        </w:rPr>
        <w:t>ELEGIR</w:t>
      </w:r>
      <w:r w:rsidRPr="00833A4F">
        <w:rPr>
          <w:rFonts w:ascii="Arial" w:hAnsi="Arial" w:cs="Arial"/>
          <w:color w:val="404040"/>
          <w:spacing w:val="-6"/>
        </w:rPr>
        <w:t xml:space="preserve"> </w:t>
      </w:r>
      <w:r w:rsidRPr="00833A4F">
        <w:rPr>
          <w:rFonts w:ascii="Arial" w:hAnsi="Arial" w:cs="Arial"/>
          <w:b/>
          <w:color w:val="404040"/>
          <w:spacing w:val="-6"/>
        </w:rPr>
        <w:t xml:space="preserve">como base </w:t>
      </w:r>
      <w:r w:rsidRPr="00833A4F">
        <w:rPr>
          <w:rFonts w:ascii="Arial" w:hAnsi="Arial" w:cs="Arial"/>
          <w:color w:val="404040"/>
          <w:spacing w:val="-6"/>
        </w:rPr>
        <w:t xml:space="preserve">de cotización en ese momento, la comprendida </w:t>
      </w:r>
      <w:r w:rsidRPr="00833A4F">
        <w:rPr>
          <w:rFonts w:ascii="Arial" w:hAnsi="Arial" w:cs="Arial"/>
          <w:color w:val="404040"/>
          <w:spacing w:val="-6"/>
          <w:u w:val="single"/>
        </w:rPr>
        <w:t xml:space="preserve">entre </w:t>
      </w:r>
      <w:r w:rsidRPr="00833A4F">
        <w:rPr>
          <w:rFonts w:ascii="Arial" w:hAnsi="Arial" w:cs="Arial"/>
          <w:b/>
          <w:color w:val="404040"/>
          <w:spacing w:val="-6"/>
        </w:rPr>
        <w:t>el 50 %</w:t>
      </w:r>
      <w:r w:rsidRPr="00833A4F">
        <w:rPr>
          <w:rFonts w:ascii="Arial" w:hAnsi="Arial" w:cs="Arial"/>
          <w:color w:val="404040"/>
          <w:spacing w:val="-6"/>
        </w:rPr>
        <w:t xml:space="preserve"> de la base mínima establecida con carácter general en la Ley de PGE </w:t>
      </w:r>
      <w:r w:rsidRPr="00833A4F">
        <w:rPr>
          <w:rFonts w:ascii="Arial" w:hAnsi="Arial" w:cs="Arial"/>
          <w:color w:val="404040"/>
          <w:spacing w:val="-6"/>
          <w:u w:val="single"/>
        </w:rPr>
        <w:t>durante los primeros 18 meses</w:t>
      </w:r>
      <w:r w:rsidRPr="00833A4F">
        <w:rPr>
          <w:rFonts w:ascii="Arial" w:hAnsi="Arial" w:cs="Arial"/>
          <w:color w:val="404040"/>
          <w:spacing w:val="-6"/>
        </w:rPr>
        <w:t xml:space="preserve">, </w:t>
      </w:r>
      <w:r w:rsidRPr="00833A4F">
        <w:rPr>
          <w:rFonts w:ascii="Arial" w:hAnsi="Arial" w:cs="Arial"/>
          <w:b/>
          <w:color w:val="404040"/>
          <w:spacing w:val="-6"/>
        </w:rPr>
        <w:t>y el 75 %</w:t>
      </w:r>
      <w:r w:rsidRPr="00833A4F">
        <w:rPr>
          <w:rFonts w:ascii="Arial" w:hAnsi="Arial" w:cs="Arial"/>
          <w:color w:val="404040"/>
          <w:spacing w:val="-6"/>
        </w:rPr>
        <w:t xml:space="preserve"> durante los</w:t>
      </w:r>
      <w:r w:rsidRPr="00833A4F">
        <w:rPr>
          <w:rFonts w:ascii="Arial" w:hAnsi="Arial" w:cs="Arial"/>
          <w:color w:val="404040"/>
          <w:spacing w:val="-6"/>
          <w:u w:val="single"/>
        </w:rPr>
        <w:t xml:space="preserve"> siguientes 18 meses</w:t>
      </w:r>
      <w:r w:rsidRPr="00833A4F">
        <w:rPr>
          <w:rFonts w:ascii="Arial" w:hAnsi="Arial" w:cs="Arial"/>
          <w:color w:val="404040"/>
          <w:spacing w:val="-6"/>
        </w:rPr>
        <w:t xml:space="preserve">, </w:t>
      </w:r>
      <w:r w:rsidRPr="00833A4F">
        <w:rPr>
          <w:rFonts w:ascii="Arial" w:hAnsi="Arial" w:cs="Arial"/>
          <w:color w:val="404040"/>
          <w:spacing w:val="-6"/>
          <w:u w:val="single"/>
        </w:rPr>
        <w:t xml:space="preserve">hasta </w:t>
      </w:r>
      <w:r w:rsidRPr="00833A4F">
        <w:rPr>
          <w:rFonts w:ascii="Arial" w:hAnsi="Arial" w:cs="Arial"/>
          <w:color w:val="404040"/>
          <w:spacing w:val="-6"/>
        </w:rPr>
        <w:t xml:space="preserve">las bases máximas establecidas para este Régimen Especial. </w:t>
      </w:r>
      <w:r w:rsidR="00A8377D" w:rsidRPr="00833A4F">
        <w:rPr>
          <w:rFonts w:ascii="Arial" w:hAnsi="Arial" w:cs="Arial"/>
          <w:color w:val="404040"/>
          <w:spacing w:val="-6"/>
        </w:rPr>
        <w:t xml:space="preserve">Estos porcentajes serán del 75% y  85% cuando la </w:t>
      </w:r>
      <w:r w:rsidR="00A8377D" w:rsidRPr="00833A4F">
        <w:rPr>
          <w:rFonts w:ascii="Arial" w:eastAsia="Times New Roman" w:hAnsi="Arial" w:cs="Arial"/>
          <w:color w:val="404040"/>
          <w:spacing w:val="-6"/>
        </w:rPr>
        <w:t xml:space="preserve">actividad laboral por cuenta ajena lo fuera a </w:t>
      </w:r>
      <w:r w:rsidR="00CB5DB0" w:rsidRPr="00833A4F">
        <w:rPr>
          <w:rFonts w:ascii="Arial" w:eastAsia="Times New Roman" w:hAnsi="Arial" w:cs="Arial"/>
          <w:b/>
          <w:color w:val="000000"/>
          <w:spacing w:val="-6"/>
          <w:u w:val="single"/>
        </w:rPr>
        <w:t>tiempo parcial</w:t>
      </w:r>
      <w:r w:rsidR="00A8377D" w:rsidRPr="00833A4F">
        <w:rPr>
          <w:rFonts w:ascii="Arial" w:eastAsia="Times New Roman" w:hAnsi="Arial" w:cs="Arial"/>
          <w:color w:val="404040"/>
          <w:spacing w:val="-6"/>
        </w:rPr>
        <w:t xml:space="preserve"> con una jornada a partir del 50 %.</w:t>
      </w:r>
    </w:p>
    <w:p w:rsidR="009764CC" w:rsidRPr="00833A4F" w:rsidRDefault="009764CC" w:rsidP="009764CC">
      <w:pPr>
        <w:jc w:val="both"/>
        <w:rPr>
          <w:color w:val="000000"/>
          <w:spacing w:val="-6"/>
          <w:sz w:val="22"/>
        </w:rPr>
      </w:pPr>
    </w:p>
    <w:p w:rsidR="009764CC" w:rsidRPr="00833A4F" w:rsidRDefault="009764CC" w:rsidP="009764CC">
      <w:pPr>
        <w:numPr>
          <w:ilvl w:val="0"/>
          <w:numId w:val="8"/>
        </w:numPr>
        <w:jc w:val="both"/>
        <w:rPr>
          <w:color w:val="404040"/>
          <w:spacing w:val="-6"/>
          <w:sz w:val="22"/>
        </w:rPr>
      </w:pPr>
      <w:r w:rsidRPr="00833A4F">
        <w:rPr>
          <w:spacing w:val="-6"/>
          <w:sz w:val="22"/>
        </w:rPr>
        <w:t xml:space="preserve">Los </w:t>
      </w:r>
      <w:r w:rsidRPr="00833A4F">
        <w:rPr>
          <w:b/>
          <w:spacing w:val="-6"/>
          <w:sz w:val="22"/>
          <w:u w:val="single"/>
        </w:rPr>
        <w:t xml:space="preserve">trabajadores por cuenta propia que tengan </w:t>
      </w:r>
      <w:r w:rsidRPr="00833A4F">
        <w:rPr>
          <w:b/>
          <w:spacing w:val="-6"/>
          <w:sz w:val="22"/>
          <w:highlight w:val="lightGray"/>
          <w:u w:val="single"/>
        </w:rPr>
        <w:t>30 o más años</w:t>
      </w:r>
      <w:r w:rsidRPr="00833A4F">
        <w:rPr>
          <w:spacing w:val="-6"/>
          <w:sz w:val="22"/>
        </w:rPr>
        <w:t xml:space="preserve"> </w:t>
      </w:r>
      <w:r w:rsidRPr="00833A4F">
        <w:rPr>
          <w:color w:val="404040"/>
          <w:spacing w:val="-6"/>
          <w:sz w:val="22"/>
        </w:rPr>
        <w:t xml:space="preserve">de edad y que causen </w:t>
      </w:r>
      <w:r w:rsidRPr="00833A4F">
        <w:rPr>
          <w:b/>
          <w:color w:val="000000"/>
          <w:spacing w:val="-6"/>
          <w:sz w:val="22"/>
        </w:rPr>
        <w:t>alta en el RETA</w:t>
      </w:r>
      <w:r w:rsidRPr="00833A4F">
        <w:rPr>
          <w:color w:val="404040"/>
          <w:spacing w:val="-6"/>
          <w:sz w:val="22"/>
        </w:rPr>
        <w:t xml:space="preserve"> </w:t>
      </w:r>
      <w:r w:rsidRPr="00C4197E">
        <w:rPr>
          <w:color w:val="404040"/>
          <w:spacing w:val="-6"/>
          <w:szCs w:val="20"/>
        </w:rPr>
        <w:t>(inicial o que no hubieran estado en situación de alta en los 5 años inmediatamente anteriores, a contar desde la fecha de efectos del alta)</w:t>
      </w:r>
      <w:r w:rsidR="003D60D7">
        <w:rPr>
          <w:color w:val="404040"/>
          <w:spacing w:val="-6"/>
          <w:sz w:val="22"/>
        </w:rPr>
        <w:t xml:space="preserve"> puede</w:t>
      </w:r>
      <w:r w:rsidRPr="00833A4F">
        <w:rPr>
          <w:color w:val="404040"/>
          <w:spacing w:val="-6"/>
          <w:sz w:val="22"/>
        </w:rPr>
        <w:t xml:space="preserve">n aplicar las siguientes </w:t>
      </w:r>
      <w:r w:rsidRPr="00833A4F">
        <w:rPr>
          <w:b/>
          <w:color w:val="404040"/>
          <w:spacing w:val="-6"/>
          <w:sz w:val="22"/>
          <w:highlight w:val="lightGray"/>
        </w:rPr>
        <w:t>reducciones</w:t>
      </w:r>
      <w:r w:rsidRPr="00833A4F">
        <w:rPr>
          <w:b/>
          <w:color w:val="404040"/>
          <w:spacing w:val="-6"/>
          <w:sz w:val="22"/>
        </w:rPr>
        <w:t xml:space="preserve"> sobre la cuota por contingencias comunes</w:t>
      </w:r>
      <w:r w:rsidRPr="00833A4F">
        <w:rPr>
          <w:color w:val="404040"/>
          <w:spacing w:val="-6"/>
          <w:sz w:val="22"/>
        </w:rPr>
        <w:t xml:space="preserve">, por un período </w:t>
      </w:r>
      <w:r w:rsidRPr="00833A4F">
        <w:rPr>
          <w:color w:val="404040"/>
          <w:spacing w:val="-6"/>
          <w:sz w:val="22"/>
          <w:u w:val="single"/>
        </w:rPr>
        <w:t>máximo de 18 meses</w:t>
      </w:r>
      <w:r w:rsidRPr="00833A4F">
        <w:rPr>
          <w:color w:val="404040"/>
          <w:spacing w:val="-6"/>
          <w:sz w:val="22"/>
        </w:rPr>
        <w:t xml:space="preserve"> y siempre que no emplean a trabajadores por cuenta ajena: una reducción equivalente al 80% durante los 6 meses inmediatamente anteriores (</w:t>
      </w:r>
      <w:r w:rsidRPr="00833A4F">
        <w:rPr>
          <w:color w:val="404040"/>
          <w:spacing w:val="-6"/>
          <w:sz w:val="22"/>
          <w:highlight w:val="lightGray"/>
        </w:rPr>
        <w:t xml:space="preserve">tarifa plana </w:t>
      </w:r>
      <w:r w:rsidRPr="00833A4F">
        <w:rPr>
          <w:color w:val="404040"/>
          <w:spacing w:val="-6"/>
          <w:sz w:val="22"/>
        </w:rPr>
        <w:t xml:space="preserve">50 €), una reducción equivalente al 50 % desde el mes 7 al 12  y una reducción del 30% del 13 al 18 mes. También se aplicará a los socios trabajadores </w:t>
      </w:r>
      <w:r w:rsidRPr="00833A4F">
        <w:rPr>
          <w:b/>
          <w:color w:val="404040"/>
          <w:spacing w:val="-6"/>
          <w:sz w:val="22"/>
        </w:rPr>
        <w:t>de cooperativas</w:t>
      </w:r>
      <w:r w:rsidRPr="00833A4F">
        <w:rPr>
          <w:color w:val="404040"/>
          <w:spacing w:val="-6"/>
          <w:sz w:val="22"/>
        </w:rPr>
        <w:t xml:space="preserve"> de trabajo asociado encuadrados en el RETA</w:t>
      </w:r>
      <w:r w:rsidR="00E8639F" w:rsidRPr="00833A4F">
        <w:rPr>
          <w:color w:val="404040"/>
          <w:spacing w:val="-6"/>
          <w:sz w:val="22"/>
        </w:rPr>
        <w:t xml:space="preserve">. </w:t>
      </w:r>
    </w:p>
    <w:p w:rsidR="00E8639F" w:rsidRPr="00833A4F" w:rsidRDefault="00E8639F" w:rsidP="00E8639F">
      <w:pPr>
        <w:pStyle w:val="Prrafodelista"/>
        <w:rPr>
          <w:color w:val="404040"/>
          <w:spacing w:val="-6"/>
          <w:sz w:val="22"/>
        </w:rPr>
      </w:pPr>
    </w:p>
    <w:p w:rsidR="00E8639F" w:rsidRPr="00833A4F" w:rsidRDefault="00E8639F" w:rsidP="009764CC">
      <w:pPr>
        <w:numPr>
          <w:ilvl w:val="0"/>
          <w:numId w:val="8"/>
        </w:numPr>
        <w:jc w:val="both"/>
        <w:rPr>
          <w:color w:val="404040"/>
          <w:spacing w:val="-6"/>
          <w:sz w:val="22"/>
        </w:rPr>
      </w:pPr>
      <w:r w:rsidRPr="00833A4F">
        <w:rPr>
          <w:color w:val="404040"/>
          <w:spacing w:val="-6"/>
          <w:sz w:val="22"/>
        </w:rPr>
        <w:t xml:space="preserve">También se establece una </w:t>
      </w:r>
      <w:r w:rsidRPr="00833A4F">
        <w:rPr>
          <w:b/>
          <w:color w:val="000000"/>
          <w:spacing w:val="-6"/>
          <w:sz w:val="22"/>
        </w:rPr>
        <w:t>reducción de la cuota o tarifa plana</w:t>
      </w:r>
      <w:r w:rsidRPr="00833A4F">
        <w:rPr>
          <w:color w:val="404040"/>
          <w:spacing w:val="-6"/>
          <w:sz w:val="22"/>
        </w:rPr>
        <w:t xml:space="preserve"> para las personas con un grado de </w:t>
      </w:r>
      <w:r w:rsidRPr="00833A4F">
        <w:rPr>
          <w:b/>
          <w:color w:val="000000"/>
          <w:spacing w:val="-6"/>
          <w:sz w:val="22"/>
          <w:u w:val="single"/>
        </w:rPr>
        <w:t>discapacidad</w:t>
      </w:r>
      <w:r w:rsidRPr="00833A4F">
        <w:rPr>
          <w:color w:val="404040"/>
          <w:spacing w:val="-6"/>
          <w:sz w:val="22"/>
        </w:rPr>
        <w:t xml:space="preserve"> igual o superior al 33% durante los 6 primeros meses, </w:t>
      </w:r>
      <w:r w:rsidRPr="00833A4F">
        <w:rPr>
          <w:b/>
          <w:color w:val="000000"/>
          <w:spacing w:val="-6"/>
          <w:sz w:val="22"/>
        </w:rPr>
        <w:t>sea cual sea su edad</w:t>
      </w:r>
      <w:r w:rsidRPr="00833A4F">
        <w:rPr>
          <w:b/>
          <w:color w:val="404040"/>
          <w:spacing w:val="-6"/>
          <w:sz w:val="22"/>
        </w:rPr>
        <w:t>,</w:t>
      </w:r>
      <w:r w:rsidRPr="00833A4F">
        <w:rPr>
          <w:color w:val="404040"/>
          <w:spacing w:val="-6"/>
          <w:sz w:val="22"/>
        </w:rPr>
        <w:t xml:space="preserve"> que causen </w:t>
      </w:r>
      <w:r w:rsidRPr="00833A4F">
        <w:rPr>
          <w:b/>
          <w:color w:val="000000"/>
          <w:spacing w:val="-6"/>
          <w:sz w:val="22"/>
        </w:rPr>
        <w:t>alta inicial en el RETA</w:t>
      </w:r>
      <w:r w:rsidRPr="00833A4F">
        <w:rPr>
          <w:color w:val="404040"/>
          <w:spacing w:val="-6"/>
          <w:sz w:val="22"/>
        </w:rPr>
        <w:t>, y con bonificación del 50% durante los 54 meses siguientes.</w:t>
      </w:r>
    </w:p>
    <w:p w:rsidR="009764CC" w:rsidRPr="00833A4F" w:rsidRDefault="009764CC" w:rsidP="009764CC">
      <w:pPr>
        <w:pStyle w:val="Prrafodelista"/>
        <w:rPr>
          <w:rFonts w:cs="Arial"/>
          <w:color w:val="404040"/>
          <w:spacing w:val="-6"/>
        </w:rPr>
      </w:pPr>
    </w:p>
    <w:p w:rsidR="00AF7F82" w:rsidRPr="00833A4F" w:rsidRDefault="009764CC" w:rsidP="00AF7F82">
      <w:pPr>
        <w:numPr>
          <w:ilvl w:val="0"/>
          <w:numId w:val="8"/>
        </w:numPr>
        <w:jc w:val="both"/>
        <w:rPr>
          <w:spacing w:val="-6"/>
          <w:sz w:val="22"/>
        </w:rPr>
      </w:pPr>
      <w:r w:rsidRPr="00833A4F">
        <w:rPr>
          <w:rFonts w:cs="Arial"/>
          <w:color w:val="404040"/>
          <w:spacing w:val="-6"/>
          <w:sz w:val="22"/>
        </w:rPr>
        <w:t>Modifica la</w:t>
      </w:r>
      <w:r w:rsidRPr="00833A4F">
        <w:rPr>
          <w:rFonts w:cs="Arial"/>
          <w:color w:val="404040"/>
          <w:spacing w:val="-6"/>
          <w:sz w:val="22"/>
          <w:u w:val="single"/>
        </w:rPr>
        <w:t xml:space="preserve"> Ley 31/1995</w:t>
      </w:r>
      <w:r w:rsidRPr="00833A4F">
        <w:rPr>
          <w:rFonts w:cs="Arial"/>
          <w:color w:val="404040"/>
          <w:spacing w:val="-6"/>
          <w:sz w:val="22"/>
        </w:rPr>
        <w:t xml:space="preserve"> </w:t>
      </w:r>
      <w:r w:rsidRPr="00833A4F">
        <w:rPr>
          <w:rFonts w:cs="Arial"/>
          <w:color w:val="000000"/>
          <w:spacing w:val="-6"/>
          <w:sz w:val="22"/>
        </w:rPr>
        <w:t>para ampliar</w:t>
      </w:r>
      <w:r w:rsidRPr="00833A4F">
        <w:rPr>
          <w:rFonts w:cs="Arial"/>
          <w:color w:val="404040"/>
          <w:spacing w:val="-6"/>
          <w:sz w:val="22"/>
        </w:rPr>
        <w:t xml:space="preserve"> los supuestos en que el </w:t>
      </w:r>
      <w:r w:rsidRPr="00833A4F">
        <w:rPr>
          <w:rFonts w:cs="Arial"/>
          <w:b/>
          <w:color w:val="000000"/>
          <w:spacing w:val="-6"/>
          <w:sz w:val="22"/>
        </w:rPr>
        <w:t>empresario podrá asumir personalmente</w:t>
      </w:r>
      <w:r w:rsidRPr="00833A4F">
        <w:rPr>
          <w:rFonts w:cs="Arial"/>
          <w:color w:val="404040"/>
          <w:spacing w:val="-6"/>
          <w:sz w:val="22"/>
        </w:rPr>
        <w:t xml:space="preserve"> las funciones de  </w:t>
      </w:r>
      <w:r w:rsidRPr="00833A4F">
        <w:rPr>
          <w:rFonts w:cs="Arial"/>
          <w:b/>
          <w:color w:val="000000"/>
          <w:spacing w:val="-6"/>
          <w:sz w:val="22"/>
          <w:u w:val="single"/>
        </w:rPr>
        <w:t>prevención de riesgos</w:t>
      </w:r>
      <w:r w:rsidRPr="00833A4F">
        <w:rPr>
          <w:rFonts w:cs="Arial"/>
          <w:color w:val="404040"/>
          <w:spacing w:val="-6"/>
          <w:sz w:val="22"/>
        </w:rPr>
        <w:t xml:space="preserve"> laborales: el empresario, que cumpliendo los requisitos, ocupe </w:t>
      </w:r>
      <w:r w:rsidRPr="00833A4F">
        <w:rPr>
          <w:rFonts w:cs="Arial"/>
          <w:color w:val="404040"/>
          <w:spacing w:val="-6"/>
          <w:sz w:val="22"/>
          <w:highlight w:val="lightGray"/>
        </w:rPr>
        <w:t>hasta 25 trabajadores</w:t>
      </w:r>
      <w:r w:rsidRPr="00833A4F">
        <w:rPr>
          <w:rFonts w:cs="Arial"/>
          <w:color w:val="404040"/>
          <w:spacing w:val="-6"/>
          <w:sz w:val="22"/>
        </w:rPr>
        <w:t xml:space="preserve">, siempre y cuando  la empresa disponga de </w:t>
      </w:r>
      <w:r w:rsidRPr="00833A4F">
        <w:rPr>
          <w:rFonts w:cs="Arial"/>
          <w:color w:val="404040"/>
          <w:spacing w:val="-6"/>
          <w:sz w:val="22"/>
          <w:highlight w:val="lightGray"/>
        </w:rPr>
        <w:t>un único centro de trabajo.</w:t>
      </w:r>
    </w:p>
    <w:p w:rsidR="00AF7F82" w:rsidRPr="00833A4F" w:rsidRDefault="00AF7F82" w:rsidP="00AF7F82">
      <w:pPr>
        <w:pStyle w:val="Prrafodelista"/>
        <w:rPr>
          <w:rFonts w:eastAsia="Times New Roman" w:cs="Arial"/>
          <w:b/>
          <w:bCs/>
          <w:color w:val="000000"/>
          <w:spacing w:val="-6"/>
          <w:sz w:val="22"/>
          <w:lang w:eastAsia="es-ES"/>
        </w:rPr>
      </w:pPr>
    </w:p>
    <w:p w:rsidR="00AF7F82" w:rsidRPr="00833A4F" w:rsidRDefault="00546D10" w:rsidP="00AF7F82">
      <w:pPr>
        <w:numPr>
          <w:ilvl w:val="0"/>
          <w:numId w:val="8"/>
        </w:numPr>
        <w:jc w:val="both"/>
        <w:rPr>
          <w:spacing w:val="-6"/>
          <w:szCs w:val="20"/>
        </w:rPr>
      </w:pPr>
      <w:r w:rsidRPr="00833A4F">
        <w:rPr>
          <w:rFonts w:eastAsia="Times New Roman" w:cs="Arial"/>
          <w:bCs/>
          <w:color w:val="000000"/>
          <w:spacing w:val="-6"/>
          <w:sz w:val="22"/>
          <w:lang w:eastAsia="es-ES"/>
        </w:rPr>
        <w:t>Se normaliza la utilización del</w:t>
      </w:r>
      <w:r w:rsidRPr="00833A4F">
        <w:rPr>
          <w:rFonts w:eastAsia="Times New Roman" w:cs="Arial"/>
          <w:b/>
          <w:bCs/>
          <w:color w:val="000000"/>
          <w:spacing w:val="-6"/>
          <w:sz w:val="22"/>
          <w:lang w:eastAsia="es-ES"/>
        </w:rPr>
        <w:t xml:space="preserve"> </w:t>
      </w:r>
      <w:r w:rsidRPr="00833A4F">
        <w:rPr>
          <w:rFonts w:eastAsia="Times New Roman" w:cs="Arial"/>
          <w:b/>
          <w:bCs/>
          <w:color w:val="000000"/>
          <w:spacing w:val="-6"/>
          <w:sz w:val="22"/>
          <w:u w:val="single"/>
          <w:lang w:eastAsia="es-ES"/>
        </w:rPr>
        <w:t>Libro de Visitas electrónico</w:t>
      </w:r>
      <w:r w:rsidRPr="00833A4F">
        <w:rPr>
          <w:rFonts w:eastAsia="Times New Roman" w:cs="Arial"/>
          <w:b/>
          <w:bCs/>
          <w:color w:val="000000"/>
          <w:spacing w:val="-6"/>
          <w:sz w:val="22"/>
          <w:lang w:eastAsia="es-ES"/>
        </w:rPr>
        <w:t xml:space="preserve"> en todos los centros de trabajo, sin necesidad de solicitud de alta</w:t>
      </w:r>
      <w:r w:rsidR="00AF7F82" w:rsidRPr="00833A4F">
        <w:rPr>
          <w:rFonts w:eastAsia="Times New Roman" w:cs="Arial"/>
          <w:b/>
          <w:bCs/>
          <w:color w:val="000000"/>
          <w:spacing w:val="-6"/>
          <w:sz w:val="22"/>
          <w:lang w:eastAsia="es-ES"/>
        </w:rPr>
        <w:t>.</w:t>
      </w:r>
      <w:r w:rsidR="00AF7F82" w:rsidRPr="00833A4F">
        <w:rPr>
          <w:rFonts w:cs="Arial"/>
          <w:color w:val="000000"/>
          <w:spacing w:val="-6"/>
          <w:sz w:val="22"/>
        </w:rPr>
        <w:t xml:space="preserve"> </w:t>
      </w:r>
      <w:r w:rsidR="00AF7F82" w:rsidRPr="00833A4F">
        <w:rPr>
          <w:rFonts w:cs="Arial"/>
          <w:color w:val="404040"/>
          <w:spacing w:val="-6"/>
          <w:szCs w:val="20"/>
          <w:u w:val="single"/>
        </w:rPr>
        <w:t>Mediante Orden</w:t>
      </w:r>
      <w:r w:rsidR="00AF7F82" w:rsidRPr="00833A4F">
        <w:rPr>
          <w:rFonts w:cs="Arial"/>
          <w:color w:val="404040"/>
          <w:spacing w:val="-6"/>
          <w:szCs w:val="20"/>
        </w:rPr>
        <w:t xml:space="preserve"> se desarrollará esta disposición: los obligados, los supuestos </w:t>
      </w:r>
      <w:proofErr w:type="spellStart"/>
      <w:r w:rsidR="00AF7F82" w:rsidRPr="00833A4F">
        <w:rPr>
          <w:rFonts w:cs="Arial"/>
          <w:color w:val="404040"/>
          <w:spacing w:val="-6"/>
          <w:szCs w:val="20"/>
        </w:rPr>
        <w:t>excepcionados</w:t>
      </w:r>
      <w:proofErr w:type="spellEnd"/>
      <w:r w:rsidR="00AF7F82" w:rsidRPr="00833A4F">
        <w:rPr>
          <w:rFonts w:cs="Arial"/>
          <w:color w:val="404040"/>
          <w:spacing w:val="-6"/>
          <w:szCs w:val="20"/>
        </w:rPr>
        <w:t xml:space="preserve"> de llevar Libro de Visitas electrónico, el medio sustitutivo al mismo y el régimen transitorio de aplicación de esta medida.</w:t>
      </w:r>
    </w:p>
    <w:p w:rsidR="00AF7F82" w:rsidRPr="00833A4F" w:rsidRDefault="00AF7F82" w:rsidP="00AF7F82">
      <w:pPr>
        <w:pStyle w:val="Prrafodelista"/>
        <w:rPr>
          <w:rFonts w:cs="Arial"/>
          <w:spacing w:val="-6"/>
          <w:sz w:val="22"/>
        </w:rPr>
      </w:pPr>
    </w:p>
    <w:p w:rsidR="00AF7F82" w:rsidRPr="00833A4F" w:rsidRDefault="00AF7F82" w:rsidP="00AF7F82">
      <w:pPr>
        <w:numPr>
          <w:ilvl w:val="0"/>
          <w:numId w:val="8"/>
        </w:numPr>
        <w:jc w:val="both"/>
        <w:rPr>
          <w:color w:val="404040"/>
          <w:spacing w:val="-6"/>
          <w:sz w:val="22"/>
        </w:rPr>
      </w:pPr>
      <w:r w:rsidRPr="00833A4F">
        <w:rPr>
          <w:rFonts w:cs="Arial"/>
          <w:spacing w:val="-6"/>
          <w:sz w:val="22"/>
        </w:rPr>
        <w:t xml:space="preserve">Establece un </w:t>
      </w:r>
      <w:r w:rsidRPr="00833A4F">
        <w:rPr>
          <w:rFonts w:cs="Arial"/>
          <w:b/>
          <w:spacing w:val="-6"/>
          <w:sz w:val="22"/>
        </w:rPr>
        <w:t>nuevo régimen</w:t>
      </w:r>
      <w:r w:rsidRPr="00833A4F">
        <w:rPr>
          <w:rFonts w:cs="Arial"/>
          <w:spacing w:val="-6"/>
          <w:sz w:val="22"/>
        </w:rPr>
        <w:t xml:space="preserve"> de </w:t>
      </w:r>
      <w:r w:rsidRPr="00833A4F">
        <w:rPr>
          <w:rFonts w:cs="Arial"/>
          <w:b/>
          <w:spacing w:val="-6"/>
          <w:sz w:val="22"/>
        </w:rPr>
        <w:t xml:space="preserve">concesión de </w:t>
      </w:r>
      <w:r w:rsidRPr="00833A4F">
        <w:rPr>
          <w:rFonts w:cs="Arial"/>
          <w:b/>
          <w:spacing w:val="-6"/>
          <w:sz w:val="22"/>
          <w:u w:val="single"/>
        </w:rPr>
        <w:t>visados y autorizaciones de residencia por razones de interés económico</w:t>
      </w:r>
      <w:r w:rsidRPr="00833A4F">
        <w:rPr>
          <w:rFonts w:cs="Arial"/>
          <w:spacing w:val="-6"/>
          <w:sz w:val="22"/>
        </w:rPr>
        <w:t xml:space="preserve">: </w:t>
      </w:r>
      <w:r w:rsidR="00756C3E" w:rsidRPr="00833A4F">
        <w:rPr>
          <w:rFonts w:cs="Arial"/>
          <w:color w:val="404040"/>
          <w:spacing w:val="-6"/>
          <w:sz w:val="22"/>
        </w:rPr>
        <w:t xml:space="preserve">inversiones significativas de capital </w:t>
      </w:r>
      <w:r w:rsidR="003D60D7">
        <w:rPr>
          <w:rFonts w:cs="Arial"/>
          <w:color w:val="404040"/>
          <w:spacing w:val="-6"/>
          <w:szCs w:val="20"/>
        </w:rPr>
        <w:t>(incluye l</w:t>
      </w:r>
      <w:r w:rsidR="00756C3E" w:rsidRPr="00833A4F">
        <w:rPr>
          <w:rFonts w:cs="Arial"/>
          <w:color w:val="404040"/>
          <w:spacing w:val="-6"/>
          <w:szCs w:val="20"/>
        </w:rPr>
        <w:t xml:space="preserve">a </w:t>
      </w:r>
      <w:r w:rsidR="00756C3E" w:rsidRPr="00833A4F">
        <w:rPr>
          <w:rFonts w:cs="Arial"/>
          <w:b/>
          <w:color w:val="000000"/>
          <w:spacing w:val="-6"/>
          <w:szCs w:val="20"/>
        </w:rPr>
        <w:t>adquisición de bienes inmuebles</w:t>
      </w:r>
      <w:r w:rsidR="00756C3E" w:rsidRPr="00833A4F">
        <w:rPr>
          <w:rFonts w:cs="Arial"/>
          <w:color w:val="404040"/>
          <w:spacing w:val="-6"/>
          <w:szCs w:val="20"/>
        </w:rPr>
        <w:t xml:space="preserve"> en España con una inversión de </w:t>
      </w:r>
      <w:r w:rsidR="00756C3E" w:rsidRPr="00833A4F">
        <w:rPr>
          <w:rFonts w:cs="Arial"/>
          <w:color w:val="404040"/>
          <w:spacing w:val="-6"/>
          <w:szCs w:val="20"/>
          <w:u w:val="single"/>
        </w:rPr>
        <w:t>valor igual o superior a</w:t>
      </w:r>
      <w:r w:rsidR="00756C3E" w:rsidRPr="00833A4F">
        <w:rPr>
          <w:rFonts w:cs="Arial"/>
          <w:color w:val="404040"/>
          <w:spacing w:val="-6"/>
          <w:szCs w:val="20"/>
        </w:rPr>
        <w:t xml:space="preserve"> 500.000 euros por cada solicitante)</w:t>
      </w:r>
      <w:r w:rsidRPr="00833A4F">
        <w:rPr>
          <w:rFonts w:cs="Arial"/>
          <w:color w:val="404040"/>
          <w:spacing w:val="-6"/>
          <w:szCs w:val="20"/>
        </w:rPr>
        <w:t>,</w:t>
      </w:r>
      <w:r w:rsidRPr="00833A4F">
        <w:rPr>
          <w:rFonts w:cs="Arial"/>
          <w:color w:val="404040"/>
          <w:spacing w:val="-6"/>
          <w:sz w:val="22"/>
        </w:rPr>
        <w:t xml:space="preserve"> emprendedores, profesionales altamente cualificados, investigadores y trabajadores que efectúen movimientos </w:t>
      </w:r>
      <w:proofErr w:type="spellStart"/>
      <w:r w:rsidRPr="00833A4F">
        <w:rPr>
          <w:rFonts w:cs="Arial"/>
          <w:color w:val="404040"/>
          <w:spacing w:val="-6"/>
          <w:sz w:val="22"/>
        </w:rPr>
        <w:t>intraempresariales</w:t>
      </w:r>
      <w:proofErr w:type="spellEnd"/>
      <w:r w:rsidRPr="00833A4F">
        <w:rPr>
          <w:rFonts w:cs="Arial"/>
          <w:color w:val="404040"/>
          <w:spacing w:val="-6"/>
          <w:sz w:val="22"/>
        </w:rPr>
        <w:t xml:space="preserve"> dentro de la misma empresa o grupo de empresas.</w:t>
      </w:r>
    </w:p>
    <w:p w:rsidR="00A8377D" w:rsidRPr="00833A4F" w:rsidRDefault="00A8377D" w:rsidP="003573D9">
      <w:pPr>
        <w:jc w:val="both"/>
        <w:rPr>
          <w:spacing w:val="-6"/>
          <w:sz w:val="22"/>
        </w:rPr>
      </w:pPr>
    </w:p>
    <w:sectPr w:rsidR="00A8377D" w:rsidRPr="00833A4F" w:rsidSect="00833A4F">
      <w:footerReference w:type="default" r:id="rId7"/>
      <w:pgSz w:w="11907" w:h="16840" w:code="9"/>
      <w:pgMar w:top="1701" w:right="1418" w:bottom="1134" w:left="1418" w:header="1134" w:footer="1134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869" w:rsidRDefault="002F4869" w:rsidP="003875E3">
      <w:r>
        <w:separator/>
      </w:r>
    </w:p>
  </w:endnote>
  <w:endnote w:type="continuationSeparator" w:id="0">
    <w:p w:rsidR="002F4869" w:rsidRDefault="002F4869" w:rsidP="00387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E3" w:rsidRDefault="001C0926">
    <w:pPr>
      <w:pStyle w:val="Piedepgina"/>
      <w:jc w:val="center"/>
    </w:pPr>
    <w:fldSimple w:instr=" PAGE   \* MERGEFORMAT ">
      <w:r w:rsidR="00E43044">
        <w:rPr>
          <w:noProof/>
        </w:rPr>
        <w:t>1</w:t>
      </w:r>
    </w:fldSimple>
  </w:p>
  <w:p w:rsidR="003875E3" w:rsidRDefault="003875E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869" w:rsidRDefault="002F4869" w:rsidP="003875E3">
      <w:r>
        <w:separator/>
      </w:r>
    </w:p>
  </w:footnote>
  <w:footnote w:type="continuationSeparator" w:id="0">
    <w:p w:rsidR="002F4869" w:rsidRDefault="002F4869" w:rsidP="00387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7EC7"/>
    <w:multiLevelType w:val="hybridMultilevel"/>
    <w:tmpl w:val="180C07DC"/>
    <w:lvl w:ilvl="0" w:tplc="2FE6D32E">
      <w:start w:val="5"/>
      <w:numFmt w:val="bullet"/>
      <w:lvlText w:val="-"/>
      <w:lvlJc w:val="left"/>
      <w:pPr>
        <w:ind w:left="360" w:hanging="360"/>
      </w:pPr>
      <w:rPr>
        <w:rFonts w:ascii="Arial" w:hAnsi="Arial" w:hint="default"/>
        <w:spacing w:val="0"/>
        <w:position w:val="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195E1C"/>
    <w:multiLevelType w:val="hybridMultilevel"/>
    <w:tmpl w:val="6452FB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FA11A6"/>
    <w:multiLevelType w:val="hybridMultilevel"/>
    <w:tmpl w:val="CAB04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BA4FF7"/>
    <w:multiLevelType w:val="hybridMultilevel"/>
    <w:tmpl w:val="1130DF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B3283F"/>
    <w:multiLevelType w:val="hybridMultilevel"/>
    <w:tmpl w:val="F7401CF0"/>
    <w:lvl w:ilvl="0" w:tplc="2FE6D32E">
      <w:start w:val="5"/>
      <w:numFmt w:val="bullet"/>
      <w:lvlText w:val="-"/>
      <w:lvlJc w:val="left"/>
      <w:pPr>
        <w:ind w:left="360" w:hanging="360"/>
      </w:pPr>
      <w:rPr>
        <w:rFonts w:ascii="Arial" w:hAnsi="Arial" w:hint="default"/>
        <w:spacing w:val="0"/>
        <w:position w:val="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1569FF"/>
    <w:multiLevelType w:val="hybridMultilevel"/>
    <w:tmpl w:val="30127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51C"/>
    <w:multiLevelType w:val="hybridMultilevel"/>
    <w:tmpl w:val="C50AABE6"/>
    <w:lvl w:ilvl="0" w:tplc="A630F3CE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F70EC3"/>
    <w:multiLevelType w:val="hybridMultilevel"/>
    <w:tmpl w:val="2B64F2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0D5D42"/>
    <w:multiLevelType w:val="hybridMultilevel"/>
    <w:tmpl w:val="D4A8DBE4"/>
    <w:lvl w:ilvl="0" w:tplc="2FE6D32E">
      <w:start w:val="5"/>
      <w:numFmt w:val="bullet"/>
      <w:lvlText w:val="-"/>
      <w:lvlJc w:val="left"/>
      <w:pPr>
        <w:ind w:left="360" w:hanging="360"/>
      </w:pPr>
      <w:rPr>
        <w:rFonts w:ascii="Arial" w:hAnsi="Arial" w:hint="default"/>
        <w:spacing w:val="0"/>
        <w:position w:val="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7C1312"/>
    <w:multiLevelType w:val="hybridMultilevel"/>
    <w:tmpl w:val="674A16F8"/>
    <w:lvl w:ilvl="0" w:tplc="A630F3CE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78283B"/>
    <w:multiLevelType w:val="hybridMultilevel"/>
    <w:tmpl w:val="F860330C"/>
    <w:lvl w:ilvl="0" w:tplc="2FE6D32E">
      <w:start w:val="5"/>
      <w:numFmt w:val="bullet"/>
      <w:lvlText w:val="-"/>
      <w:lvlJc w:val="left"/>
      <w:pPr>
        <w:ind w:left="360" w:hanging="360"/>
      </w:pPr>
      <w:rPr>
        <w:rFonts w:ascii="Arial" w:hAnsi="Arial" w:hint="default"/>
        <w:spacing w:val="0"/>
        <w:position w:val="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252A56"/>
    <w:multiLevelType w:val="hybridMultilevel"/>
    <w:tmpl w:val="DCCC2B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E23C1"/>
    <w:multiLevelType w:val="hybridMultilevel"/>
    <w:tmpl w:val="92424F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39E"/>
    <w:rsid w:val="00013517"/>
    <w:rsid w:val="0001676A"/>
    <w:rsid w:val="0002307F"/>
    <w:rsid w:val="000263B6"/>
    <w:rsid w:val="00031075"/>
    <w:rsid w:val="00035FDE"/>
    <w:rsid w:val="0004274C"/>
    <w:rsid w:val="00051CDB"/>
    <w:rsid w:val="000645A2"/>
    <w:rsid w:val="00070B27"/>
    <w:rsid w:val="00083694"/>
    <w:rsid w:val="000C7180"/>
    <w:rsid w:val="000D2D03"/>
    <w:rsid w:val="000E04CD"/>
    <w:rsid w:val="000F5606"/>
    <w:rsid w:val="001002BB"/>
    <w:rsid w:val="00105D01"/>
    <w:rsid w:val="0011781F"/>
    <w:rsid w:val="001249EF"/>
    <w:rsid w:val="00134675"/>
    <w:rsid w:val="001453C4"/>
    <w:rsid w:val="00145C42"/>
    <w:rsid w:val="00145CCD"/>
    <w:rsid w:val="00145FCE"/>
    <w:rsid w:val="001470D3"/>
    <w:rsid w:val="00171A24"/>
    <w:rsid w:val="00174E6D"/>
    <w:rsid w:val="00184839"/>
    <w:rsid w:val="00195188"/>
    <w:rsid w:val="001A10C1"/>
    <w:rsid w:val="001C0926"/>
    <w:rsid w:val="001C7087"/>
    <w:rsid w:val="001D1AD5"/>
    <w:rsid w:val="001E16F7"/>
    <w:rsid w:val="001F4E99"/>
    <w:rsid w:val="00232719"/>
    <w:rsid w:val="002424F7"/>
    <w:rsid w:val="00280363"/>
    <w:rsid w:val="002A1B57"/>
    <w:rsid w:val="002D137D"/>
    <w:rsid w:val="002F4869"/>
    <w:rsid w:val="00300058"/>
    <w:rsid w:val="003113E7"/>
    <w:rsid w:val="00311C92"/>
    <w:rsid w:val="003213B5"/>
    <w:rsid w:val="0032173B"/>
    <w:rsid w:val="00323504"/>
    <w:rsid w:val="0033403B"/>
    <w:rsid w:val="00336AEF"/>
    <w:rsid w:val="00353DC2"/>
    <w:rsid w:val="003573D9"/>
    <w:rsid w:val="00376945"/>
    <w:rsid w:val="003875E3"/>
    <w:rsid w:val="003D60D7"/>
    <w:rsid w:val="003D7C9B"/>
    <w:rsid w:val="00401E90"/>
    <w:rsid w:val="0041072F"/>
    <w:rsid w:val="00410D20"/>
    <w:rsid w:val="004119BC"/>
    <w:rsid w:val="004169A3"/>
    <w:rsid w:val="004170BA"/>
    <w:rsid w:val="00462FEE"/>
    <w:rsid w:val="00470AD1"/>
    <w:rsid w:val="004E0083"/>
    <w:rsid w:val="004E7737"/>
    <w:rsid w:val="004F1E74"/>
    <w:rsid w:val="004F6248"/>
    <w:rsid w:val="00510BFB"/>
    <w:rsid w:val="005264EF"/>
    <w:rsid w:val="00530EF2"/>
    <w:rsid w:val="00546D10"/>
    <w:rsid w:val="00551FD7"/>
    <w:rsid w:val="0056458A"/>
    <w:rsid w:val="005A791D"/>
    <w:rsid w:val="005C43C6"/>
    <w:rsid w:val="005E4878"/>
    <w:rsid w:val="005F176A"/>
    <w:rsid w:val="00605335"/>
    <w:rsid w:val="00610D62"/>
    <w:rsid w:val="00613BE4"/>
    <w:rsid w:val="00627508"/>
    <w:rsid w:val="00631AD5"/>
    <w:rsid w:val="006465FC"/>
    <w:rsid w:val="00667AC3"/>
    <w:rsid w:val="00673469"/>
    <w:rsid w:val="00691F31"/>
    <w:rsid w:val="006A1997"/>
    <w:rsid w:val="006A5666"/>
    <w:rsid w:val="006D1A43"/>
    <w:rsid w:val="006D4FAA"/>
    <w:rsid w:val="00704213"/>
    <w:rsid w:val="007077D6"/>
    <w:rsid w:val="00717B33"/>
    <w:rsid w:val="00720B95"/>
    <w:rsid w:val="00737557"/>
    <w:rsid w:val="0074309E"/>
    <w:rsid w:val="00755535"/>
    <w:rsid w:val="00756C3E"/>
    <w:rsid w:val="0076104F"/>
    <w:rsid w:val="007765F2"/>
    <w:rsid w:val="00780AE4"/>
    <w:rsid w:val="00787A66"/>
    <w:rsid w:val="00790E2B"/>
    <w:rsid w:val="00793DF8"/>
    <w:rsid w:val="007D3F99"/>
    <w:rsid w:val="007D4587"/>
    <w:rsid w:val="007D5381"/>
    <w:rsid w:val="007D5C1F"/>
    <w:rsid w:val="007E5C00"/>
    <w:rsid w:val="008155A8"/>
    <w:rsid w:val="00833A4F"/>
    <w:rsid w:val="0085457E"/>
    <w:rsid w:val="00856DFB"/>
    <w:rsid w:val="00870FE3"/>
    <w:rsid w:val="00897841"/>
    <w:rsid w:val="008B1F9A"/>
    <w:rsid w:val="008C60E2"/>
    <w:rsid w:val="0091256C"/>
    <w:rsid w:val="00915A87"/>
    <w:rsid w:val="009208CA"/>
    <w:rsid w:val="0092539E"/>
    <w:rsid w:val="00936035"/>
    <w:rsid w:val="00940884"/>
    <w:rsid w:val="00957EE2"/>
    <w:rsid w:val="00965677"/>
    <w:rsid w:val="009764CC"/>
    <w:rsid w:val="00980972"/>
    <w:rsid w:val="00981B17"/>
    <w:rsid w:val="0098513D"/>
    <w:rsid w:val="00991C75"/>
    <w:rsid w:val="009B6A33"/>
    <w:rsid w:val="009C4C02"/>
    <w:rsid w:val="009D6C39"/>
    <w:rsid w:val="009E44BF"/>
    <w:rsid w:val="009E5F11"/>
    <w:rsid w:val="00A239DA"/>
    <w:rsid w:val="00A3109C"/>
    <w:rsid w:val="00A31A0B"/>
    <w:rsid w:val="00A411DA"/>
    <w:rsid w:val="00A41664"/>
    <w:rsid w:val="00A50B5A"/>
    <w:rsid w:val="00A81BC0"/>
    <w:rsid w:val="00A8377D"/>
    <w:rsid w:val="00A9045A"/>
    <w:rsid w:val="00A97486"/>
    <w:rsid w:val="00A977EB"/>
    <w:rsid w:val="00AF7F82"/>
    <w:rsid w:val="00B14A91"/>
    <w:rsid w:val="00B233D4"/>
    <w:rsid w:val="00B308E6"/>
    <w:rsid w:val="00B32CDD"/>
    <w:rsid w:val="00B40A7F"/>
    <w:rsid w:val="00B43438"/>
    <w:rsid w:val="00B648CA"/>
    <w:rsid w:val="00B8518B"/>
    <w:rsid w:val="00BA5310"/>
    <w:rsid w:val="00BC3B8F"/>
    <w:rsid w:val="00BE0903"/>
    <w:rsid w:val="00C252F0"/>
    <w:rsid w:val="00C4197E"/>
    <w:rsid w:val="00C4414D"/>
    <w:rsid w:val="00CA1CAC"/>
    <w:rsid w:val="00CA24A1"/>
    <w:rsid w:val="00CA69DC"/>
    <w:rsid w:val="00CB5DB0"/>
    <w:rsid w:val="00D0610A"/>
    <w:rsid w:val="00D462A9"/>
    <w:rsid w:val="00D54000"/>
    <w:rsid w:val="00DB0647"/>
    <w:rsid w:val="00DC2A48"/>
    <w:rsid w:val="00DC5413"/>
    <w:rsid w:val="00DD0888"/>
    <w:rsid w:val="00DD7D9D"/>
    <w:rsid w:val="00E0020B"/>
    <w:rsid w:val="00E3766D"/>
    <w:rsid w:val="00E37E76"/>
    <w:rsid w:val="00E43044"/>
    <w:rsid w:val="00E518E0"/>
    <w:rsid w:val="00E7258F"/>
    <w:rsid w:val="00E80CB6"/>
    <w:rsid w:val="00E8639F"/>
    <w:rsid w:val="00E944CE"/>
    <w:rsid w:val="00EB7CB5"/>
    <w:rsid w:val="00EF0B90"/>
    <w:rsid w:val="00F07D67"/>
    <w:rsid w:val="00F1564F"/>
    <w:rsid w:val="00F17537"/>
    <w:rsid w:val="00F176B7"/>
    <w:rsid w:val="00F325CB"/>
    <w:rsid w:val="00F5496A"/>
    <w:rsid w:val="00FB228A"/>
    <w:rsid w:val="00FD34DE"/>
    <w:rsid w:val="00FD766C"/>
    <w:rsid w:val="00FE02B2"/>
    <w:rsid w:val="00FE2C99"/>
    <w:rsid w:val="00FE4839"/>
    <w:rsid w:val="00FE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CAC"/>
    <w:rPr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645A2"/>
    <w:pPr>
      <w:keepNext/>
      <w:keepLines/>
      <w:jc w:val="both"/>
      <w:outlineLvl w:val="0"/>
    </w:pPr>
    <w:rPr>
      <w:rFonts w:eastAsia="Times New Roman"/>
      <w:b/>
      <w:bCs/>
      <w:color w:val="000000"/>
      <w:sz w:val="24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1AD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xtbold1">
    <w:name w:val="txtbold1"/>
    <w:basedOn w:val="Fuentedeprrafopredeter"/>
    <w:rsid w:val="0032173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645A2"/>
    <w:rPr>
      <w:rFonts w:eastAsia="Times New Roman"/>
      <w:b/>
      <w:bCs/>
      <w:color w:val="000000"/>
      <w:sz w:val="24"/>
      <w:szCs w:val="28"/>
    </w:rPr>
  </w:style>
  <w:style w:type="paragraph" w:styleId="Sinespaciado">
    <w:name w:val="No Spacing"/>
    <w:uiPriority w:val="1"/>
    <w:qFormat/>
    <w:rsid w:val="00F17537"/>
    <w:rPr>
      <w:rFonts w:ascii="Calibri" w:hAnsi="Calibri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1AD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rrafodelista">
    <w:name w:val="List Paragraph"/>
    <w:basedOn w:val="Normal"/>
    <w:uiPriority w:val="34"/>
    <w:qFormat/>
    <w:rsid w:val="009764CC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61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10A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3875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875E3"/>
    <w:rPr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875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5E3"/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235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60179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7573">
                              <w:marLeft w:val="0"/>
                              <w:marRight w:val="0"/>
                              <w:marTop w:val="0"/>
                              <w:marBottom w:val="1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695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39492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2323">
                              <w:marLeft w:val="0"/>
                              <w:marRight w:val="0"/>
                              <w:marTop w:val="0"/>
                              <w:marBottom w:val="1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82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7996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90982">
                              <w:marLeft w:val="0"/>
                              <w:marRight w:val="0"/>
                              <w:marTop w:val="0"/>
                              <w:marBottom w:val="1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83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356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7536">
                              <w:marLeft w:val="0"/>
                              <w:marRight w:val="0"/>
                              <w:marTop w:val="0"/>
                              <w:marBottom w:val="1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555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2480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4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361">
                              <w:marLeft w:val="0"/>
                              <w:marRight w:val="0"/>
                              <w:marTop w:val="0"/>
                              <w:marBottom w:val="1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689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5164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77809">
                              <w:marLeft w:val="0"/>
                              <w:marRight w:val="0"/>
                              <w:marTop w:val="0"/>
                              <w:marBottom w:val="1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1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43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7011">
                              <w:marLeft w:val="0"/>
                              <w:marRight w:val="0"/>
                              <w:marTop w:val="0"/>
                              <w:marBottom w:val="1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4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Judith</cp:lastModifiedBy>
  <cp:revision>3</cp:revision>
  <cp:lastPrinted>2013-10-21T11:51:00Z</cp:lastPrinted>
  <dcterms:created xsi:type="dcterms:W3CDTF">2014-01-31T16:22:00Z</dcterms:created>
  <dcterms:modified xsi:type="dcterms:W3CDTF">2014-01-31T17:16:00Z</dcterms:modified>
</cp:coreProperties>
</file>